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9E1FF" w14:textId="77777777" w:rsidR="00795D65" w:rsidRPr="000D1BA2" w:rsidRDefault="00795D65">
      <w:pPr>
        <w:rPr>
          <w:rFonts w:ascii="Tahoma" w:hAnsi="Tahoma" w:cs="Tahoma"/>
          <w:b/>
        </w:rPr>
      </w:pPr>
      <w:bookmarkStart w:id="0" w:name="_GoBack"/>
      <w:bookmarkEnd w:id="0"/>
    </w:p>
    <w:p w14:paraId="640FDBC9" w14:textId="77777777" w:rsidR="00795D65" w:rsidRPr="000D1BA2" w:rsidRDefault="00795D65">
      <w:pPr>
        <w:rPr>
          <w:rFonts w:ascii="Tahoma" w:hAnsi="Tahoma" w:cs="Tahoma"/>
          <w:b/>
        </w:rPr>
      </w:pPr>
    </w:p>
    <w:p w14:paraId="4F6F9A4A" w14:textId="77777777" w:rsidR="00795D65" w:rsidRPr="000D1BA2" w:rsidRDefault="00795D65">
      <w:pPr>
        <w:rPr>
          <w:rFonts w:ascii="Tahoma" w:hAnsi="Tahoma" w:cs="Tahoma"/>
          <w:b/>
        </w:rPr>
      </w:pPr>
    </w:p>
    <w:p w14:paraId="077EF4C9" w14:textId="77777777" w:rsidR="00E26FD5" w:rsidRDefault="00E26FD5" w:rsidP="00C3107F">
      <w:pPr>
        <w:jc w:val="center"/>
        <w:rPr>
          <w:rFonts w:ascii="Tahoma" w:hAnsi="Tahoma" w:cs="Tahoma"/>
          <w:b/>
          <w:sz w:val="32"/>
          <w:szCs w:val="32"/>
        </w:rPr>
      </w:pPr>
      <w:r>
        <w:rPr>
          <w:rFonts w:ascii="Tahoma" w:hAnsi="Tahoma" w:cs="Tahoma"/>
          <w:b/>
          <w:sz w:val="32"/>
          <w:szCs w:val="32"/>
        </w:rPr>
        <w:t>A Question of Engagement</w:t>
      </w:r>
    </w:p>
    <w:p w14:paraId="2C8165B6" w14:textId="77777777" w:rsidR="00E26FD5" w:rsidRDefault="00E26FD5" w:rsidP="00C3107F">
      <w:pPr>
        <w:jc w:val="center"/>
        <w:rPr>
          <w:rFonts w:ascii="Tahoma" w:hAnsi="Tahoma" w:cs="Tahoma"/>
          <w:b/>
          <w:sz w:val="32"/>
          <w:szCs w:val="32"/>
        </w:rPr>
      </w:pPr>
    </w:p>
    <w:p w14:paraId="7B27D4C6" w14:textId="77777777" w:rsidR="00807082" w:rsidRPr="00C3107F" w:rsidRDefault="006430E6" w:rsidP="00C3107F">
      <w:pPr>
        <w:jc w:val="center"/>
        <w:rPr>
          <w:rFonts w:ascii="Tahoma" w:hAnsi="Tahoma" w:cs="Tahoma"/>
          <w:b/>
          <w:sz w:val="32"/>
          <w:szCs w:val="32"/>
        </w:rPr>
      </w:pPr>
      <w:r w:rsidRPr="00E9699D">
        <w:rPr>
          <w:rFonts w:ascii="Tahoma" w:hAnsi="Tahoma" w:cs="Tahoma"/>
          <w:b/>
          <w:sz w:val="32"/>
          <w:szCs w:val="32"/>
        </w:rPr>
        <w:t>Measuring</w:t>
      </w:r>
      <w:r w:rsidR="00E26FD5" w:rsidRPr="006430E6">
        <w:rPr>
          <w:rFonts w:ascii="Tahoma" w:hAnsi="Tahoma" w:cs="Tahoma"/>
          <w:b/>
          <w:color w:val="FF0000"/>
          <w:sz w:val="32"/>
          <w:szCs w:val="32"/>
        </w:rPr>
        <w:t xml:space="preserve"> </w:t>
      </w:r>
      <w:r w:rsidR="00E26FD5">
        <w:rPr>
          <w:rFonts w:ascii="Tahoma" w:hAnsi="Tahoma" w:cs="Tahoma"/>
          <w:b/>
          <w:sz w:val="32"/>
          <w:szCs w:val="32"/>
        </w:rPr>
        <w:t>w</w:t>
      </w:r>
      <w:r w:rsidR="00895D6A" w:rsidRPr="00C3107F">
        <w:rPr>
          <w:rFonts w:ascii="Tahoma" w:hAnsi="Tahoma" w:cs="Tahoma"/>
          <w:b/>
          <w:sz w:val="32"/>
          <w:szCs w:val="32"/>
        </w:rPr>
        <w:t>orkforce engagement in the indep</w:t>
      </w:r>
      <w:r w:rsidR="00807082" w:rsidRPr="00C3107F">
        <w:rPr>
          <w:rFonts w:ascii="Tahoma" w:hAnsi="Tahoma" w:cs="Tahoma"/>
          <w:b/>
          <w:sz w:val="32"/>
          <w:szCs w:val="32"/>
        </w:rPr>
        <w:t>endent and voluntary sectors</w:t>
      </w:r>
    </w:p>
    <w:p w14:paraId="421AB215" w14:textId="77777777" w:rsidR="0047332D" w:rsidRPr="00C3107F" w:rsidRDefault="0047332D" w:rsidP="00C3107F">
      <w:pPr>
        <w:jc w:val="center"/>
        <w:rPr>
          <w:rFonts w:ascii="Tahoma" w:hAnsi="Tahoma" w:cs="Tahoma"/>
          <w:b/>
          <w:sz w:val="32"/>
          <w:szCs w:val="32"/>
        </w:rPr>
      </w:pPr>
    </w:p>
    <w:p w14:paraId="152E96BD" w14:textId="77777777" w:rsidR="00895D6A" w:rsidRPr="00C3107F" w:rsidRDefault="00E26FD5" w:rsidP="00C3107F">
      <w:pPr>
        <w:jc w:val="center"/>
        <w:rPr>
          <w:rFonts w:ascii="Tahoma" w:hAnsi="Tahoma" w:cs="Tahoma"/>
          <w:b/>
          <w:sz w:val="32"/>
          <w:szCs w:val="32"/>
        </w:rPr>
      </w:pPr>
      <w:r>
        <w:rPr>
          <w:rFonts w:ascii="Tahoma" w:hAnsi="Tahoma" w:cs="Tahoma"/>
          <w:b/>
          <w:sz w:val="32"/>
          <w:szCs w:val="32"/>
        </w:rPr>
        <w:t>August</w:t>
      </w:r>
      <w:r w:rsidR="00895D6A" w:rsidRPr="00C3107F">
        <w:rPr>
          <w:rFonts w:ascii="Tahoma" w:hAnsi="Tahoma" w:cs="Tahoma"/>
          <w:b/>
          <w:sz w:val="32"/>
          <w:szCs w:val="32"/>
        </w:rPr>
        <w:t xml:space="preserve"> 2015</w:t>
      </w:r>
    </w:p>
    <w:p w14:paraId="37599299" w14:textId="77777777" w:rsidR="00822A27" w:rsidRPr="000D1BA2" w:rsidRDefault="00C3107F">
      <w:pPr>
        <w:spacing w:after="0" w:line="240" w:lineRule="auto"/>
        <w:rPr>
          <w:rFonts w:ascii="Tahoma" w:hAnsi="Tahoma" w:cs="Tahoma"/>
          <w:noProof/>
          <w:lang w:eastAsia="en-GB"/>
        </w:rPr>
      </w:pPr>
      <w:r w:rsidRPr="000D1BA2">
        <w:rPr>
          <w:rFonts w:ascii="Tahoma" w:hAnsi="Tahoma" w:cs="Tahoma"/>
          <w:b/>
          <w:noProof/>
          <w:lang w:eastAsia="en-GB"/>
        </w:rPr>
        <w:drawing>
          <wp:anchor distT="0" distB="0" distL="114300" distR="114300" simplePos="0" relativeHeight="251661312" behindDoc="1" locked="0" layoutInCell="1" allowOverlap="1" wp14:anchorId="40DF7F3A" wp14:editId="59209B2D">
            <wp:simplePos x="0" y="0"/>
            <wp:positionH relativeFrom="column">
              <wp:posOffset>1043940</wp:posOffset>
            </wp:positionH>
            <wp:positionV relativeFrom="paragraph">
              <wp:posOffset>2242820</wp:posOffset>
            </wp:positionV>
            <wp:extent cx="3407410" cy="657860"/>
            <wp:effectExtent l="0" t="0" r="2540" b="8890"/>
            <wp:wrapTight wrapText="bothSides">
              <wp:wrapPolygon edited="0">
                <wp:start x="0" y="0"/>
                <wp:lineTo x="0" y="21266"/>
                <wp:lineTo x="21495" y="21266"/>
                <wp:lineTo x="2149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6925_SSSC_Master_Logo_Typesty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07410" cy="657860"/>
                    </a:xfrm>
                    <a:prstGeom prst="rect">
                      <a:avLst/>
                    </a:prstGeom>
                  </pic:spPr>
                </pic:pic>
              </a:graphicData>
            </a:graphic>
            <wp14:sizeRelH relativeFrom="page">
              <wp14:pctWidth>0</wp14:pctWidth>
            </wp14:sizeRelH>
            <wp14:sizeRelV relativeFrom="page">
              <wp14:pctHeight>0</wp14:pctHeight>
            </wp14:sizeRelV>
          </wp:anchor>
        </w:drawing>
      </w:r>
      <w:r w:rsidR="000D1BA2">
        <w:rPr>
          <w:noProof/>
          <w:lang w:eastAsia="en-GB"/>
        </w:rPr>
        <w:drawing>
          <wp:anchor distT="0" distB="0" distL="114300" distR="114300" simplePos="0" relativeHeight="251660288" behindDoc="1" locked="0" layoutInCell="1" allowOverlap="1" wp14:anchorId="52EDF5A6" wp14:editId="0DF5B527">
            <wp:simplePos x="0" y="0"/>
            <wp:positionH relativeFrom="column">
              <wp:posOffset>-68580</wp:posOffset>
            </wp:positionH>
            <wp:positionV relativeFrom="paragraph">
              <wp:posOffset>3557905</wp:posOffset>
            </wp:positionV>
            <wp:extent cx="2857500" cy="933450"/>
            <wp:effectExtent l="19050" t="0" r="0" b="0"/>
            <wp:wrapTight wrapText="bothSides">
              <wp:wrapPolygon edited="0">
                <wp:start x="-144" y="0"/>
                <wp:lineTo x="-144" y="21159"/>
                <wp:lineTo x="21600" y="21159"/>
                <wp:lineTo x="21600" y="0"/>
                <wp:lineTo x="-144" y="0"/>
              </wp:wrapPolygon>
            </wp:wrapTight>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857500" cy="933450"/>
                    </a:xfrm>
                    <a:prstGeom prst="rect">
                      <a:avLst/>
                    </a:prstGeom>
                    <a:noFill/>
                    <a:ln w="9525">
                      <a:noFill/>
                      <a:miter lim="800000"/>
                      <a:headEnd/>
                      <a:tailEnd/>
                    </a:ln>
                  </pic:spPr>
                </pic:pic>
              </a:graphicData>
            </a:graphic>
          </wp:anchor>
        </w:drawing>
      </w:r>
      <w:r w:rsidR="00822A27" w:rsidRPr="000D1BA2">
        <w:rPr>
          <w:rFonts w:ascii="Tahoma" w:hAnsi="Tahoma" w:cs="Tahoma"/>
          <w:noProof/>
          <w:lang w:eastAsia="en-GB"/>
        </w:rPr>
        <w:drawing>
          <wp:anchor distT="0" distB="0" distL="114300" distR="114300" simplePos="0" relativeHeight="251658240" behindDoc="1" locked="0" layoutInCell="1" allowOverlap="1" wp14:anchorId="26335676" wp14:editId="1A88B6AD">
            <wp:simplePos x="0" y="0"/>
            <wp:positionH relativeFrom="column">
              <wp:posOffset>4251960</wp:posOffset>
            </wp:positionH>
            <wp:positionV relativeFrom="paragraph">
              <wp:posOffset>3404235</wp:posOffset>
            </wp:positionV>
            <wp:extent cx="1309209" cy="1623060"/>
            <wp:effectExtent l="0" t="0" r="5715" b="0"/>
            <wp:wrapTight wrapText="bothSides">
              <wp:wrapPolygon edited="0">
                <wp:start x="0" y="0"/>
                <wp:lineTo x="0" y="21296"/>
                <wp:lineTo x="21380" y="21296"/>
                <wp:lineTo x="21380" y="0"/>
                <wp:lineTo x="0" y="0"/>
              </wp:wrapPolygon>
            </wp:wrapTight>
            <wp:docPr id="14" name="Picture 14" descr="C:\Users\User\Documents\Scottish Care\Workforce Matte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ottish Care\Workforce Matters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9209" cy="162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895D6A" w:rsidRPr="000D1BA2">
        <w:rPr>
          <w:rFonts w:ascii="Tahoma" w:hAnsi="Tahoma" w:cs="Tahoma"/>
        </w:rPr>
        <w:br w:type="page"/>
      </w:r>
    </w:p>
    <w:p w14:paraId="0259CB6E" w14:textId="77777777" w:rsidR="006430E6" w:rsidRDefault="004C48C4" w:rsidP="006430E6">
      <w:pPr>
        <w:rPr>
          <w:rFonts w:ascii="Tahoma" w:hAnsi="Tahoma" w:cs="Tahoma"/>
        </w:rPr>
      </w:pPr>
      <w:r>
        <w:rPr>
          <w:rFonts w:ascii="Tahoma" w:hAnsi="Tahoma" w:cs="Tahoma"/>
          <w:b/>
        </w:rPr>
        <w:lastRenderedPageBreak/>
        <w:t>Background</w:t>
      </w:r>
      <w:r w:rsidR="00C3107F">
        <w:rPr>
          <w:rFonts w:ascii="Tahoma" w:hAnsi="Tahoma" w:cs="Tahoma"/>
          <w:b/>
        </w:rPr>
        <w:t xml:space="preserve"> - Integration and Engagement</w:t>
      </w:r>
      <w:r w:rsidR="006430E6">
        <w:rPr>
          <w:rFonts w:ascii="Tahoma" w:hAnsi="Tahoma" w:cs="Tahoma"/>
          <w:b/>
        </w:rPr>
        <w:t xml:space="preserve">  </w:t>
      </w:r>
    </w:p>
    <w:p w14:paraId="0229F9AB" w14:textId="77777777" w:rsidR="0002051E" w:rsidRDefault="0002051E" w:rsidP="006E39F6">
      <w:pPr>
        <w:rPr>
          <w:rFonts w:ascii="Tahoma" w:hAnsi="Tahoma" w:cs="Tahoma"/>
        </w:rPr>
      </w:pPr>
      <w:r w:rsidRPr="00772824">
        <w:rPr>
          <w:rFonts w:ascii="Tahoma" w:hAnsi="Tahoma" w:cs="Tahoma"/>
          <w:noProof/>
          <w:lang w:eastAsia="en-GB"/>
        </w:rPr>
        <mc:AlternateContent>
          <mc:Choice Requires="wps">
            <w:drawing>
              <wp:anchor distT="45720" distB="45720" distL="114300" distR="114300" simplePos="0" relativeHeight="251676672" behindDoc="0" locked="0" layoutInCell="1" allowOverlap="1" wp14:anchorId="09D4BB1B" wp14:editId="51FE0317">
                <wp:simplePos x="0" y="0"/>
                <wp:positionH relativeFrom="column">
                  <wp:posOffset>-68580</wp:posOffset>
                </wp:positionH>
                <wp:positionV relativeFrom="paragraph">
                  <wp:posOffset>639445</wp:posOffset>
                </wp:positionV>
                <wp:extent cx="5806440" cy="7620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762000"/>
                        </a:xfrm>
                        <a:prstGeom prst="rect">
                          <a:avLst/>
                        </a:prstGeom>
                        <a:solidFill>
                          <a:srgbClr val="FFFFFF"/>
                        </a:solidFill>
                        <a:ln w="9525">
                          <a:solidFill>
                            <a:srgbClr val="000000"/>
                          </a:solidFill>
                          <a:miter lim="800000"/>
                          <a:headEnd/>
                          <a:tailEnd/>
                        </a:ln>
                      </wps:spPr>
                      <wps:txbx>
                        <w:txbxContent>
                          <w:p w14:paraId="229D21CD" w14:textId="77777777" w:rsidR="001C1968" w:rsidRPr="00772824" w:rsidRDefault="001C1968" w:rsidP="006430E6">
                            <w:pPr>
                              <w:rPr>
                                <w:rFonts w:ascii="Tahoma" w:hAnsi="Tahoma" w:cs="Tahoma"/>
                              </w:rPr>
                            </w:pPr>
                            <w:r w:rsidRPr="0002051E">
                              <w:rPr>
                                <w:rFonts w:ascii="Tahoma" w:hAnsi="Tahoma" w:cs="Tahoma"/>
                                <w:b/>
                              </w:rPr>
                              <w:t>National Health and Wellbeing Outcome 8</w:t>
                            </w:r>
                            <w:r w:rsidRPr="00772824">
                              <w:rPr>
                                <w:rFonts w:ascii="Tahoma" w:hAnsi="Tahoma" w:cs="Tahoma"/>
                              </w:rPr>
                              <w:t>: People who work in health and social care services feel engaged with the work they do and are supported to continuously improve the information, care and treatment they provide.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09D4BB1B" id="_x0000_t202" coordsize="21600,21600" o:spt="202" path="m,l,21600r21600,l21600,xe">
                <v:stroke joinstyle="miter"/>
                <v:path gradientshapeok="t" o:connecttype="rect"/>
              </v:shapetype>
              <v:shape id="Text Box 2" o:spid="_x0000_s1026" type="#_x0000_t202" style="position:absolute;margin-left:-5.4pt;margin-top:50.35pt;width:457.2pt;height:60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SZJAIAAEYEAAAOAAAAZHJzL2Uyb0RvYy54bWysU8tu2zAQvBfoPxC817INvyJEDlKnLgqk&#10;aYGkH7CiKIsoyVVJ2pL79V1SjuOm6KWoDgLJXQ5nZ3avb3qj2UE6r9AWfDIacyatwErZXcG/PW3f&#10;rTjzAWwFGq0s+FF6frN+++a6a3M5xQZ1JR0jEOvzri14E0KbZ5kXjTTgR9hKS8EanYFAW7fLKgcd&#10;oRudTcfjRdahq1qHQnpPp3dDkK8Tfl1LEb7UtZeB6YITt5D+Lv3L+M/W15DvHLSNEica8A8sDChL&#10;j56h7iAA2zv1B5RRwqHHOowEmgzrWgmZaqBqJuNX1Tw20MpUC4nj27NM/v/BiofDV8dUVfDpZMmZ&#10;BUMmPck+sPfYs2nUp2t9TmmPLSWGno7J51Srb+9RfPfM4qYBu5O3zmHXSKiI3yTezC6uDjg+gpTd&#10;Z6zoGdgHTEB97UwUj+RghE4+Hc/eRCqCDuer8WI2o5Cg2HJB3ifzMsifb7fOh48SDYuLgjvyPqHD&#10;4d6HyAby55T4mEetqq3SOm3crtxoxw5AfbJNXyrgVZq2rCv41Xw6HwT4KwSxeyH420tGBWp4rUzB&#10;V+ckyKNsH2yV2jGA0sOaKGt70jFKN4gY+rI/+VJidSRFHQ6NTYNIiwbdT846auqC+x97cJIz/cmS&#10;K1eTJGFIm9l8OSU93WWkvIyAFQRV8MDZsNyENDlRMIu35F6tkrDR5oHJiSs1a9L7NFhxGi73Ketl&#10;/Ne/AAAA//8DAFBLAwQUAAYACAAAACEA+gaPmuAAAAALAQAADwAAAGRycy9kb3ducmV2LnhtbEyP&#10;wU7DMBBE70j8g7VIXFBrN0VpG+JUCAkENygIrm68TSLsdYjdNPw9ywmOszOaeVtuJ+/EiEPsAmlY&#10;zBUIpDrYjhoNb6/3szWImAxZ4wKhhm+MsK3Oz0pT2HCiFxx3qRFcQrEwGtqU+kLKWLfoTZyHHom9&#10;Qxi8SSyHRtrBnLjcO5kplUtvOuKF1vR412L9uTt6Devrx/EjPi2f3+v84DbpajU+fA1aX15Mtzcg&#10;Ek7pLwy/+IwOFTPtw5FsFE7DbKEYPbGh1AoEJzZqmYPYa8gyvsiqlP9/qH4AAAD//wMAUEsBAi0A&#10;FAAGAAgAAAAhALaDOJL+AAAA4QEAABMAAAAAAAAAAAAAAAAAAAAAAFtDb250ZW50X1R5cGVzXS54&#10;bWxQSwECLQAUAAYACAAAACEAOP0h/9YAAACUAQAACwAAAAAAAAAAAAAAAAAvAQAAX3JlbHMvLnJl&#10;bHNQSwECLQAUAAYACAAAACEAAWU0mSQCAABGBAAADgAAAAAAAAAAAAAAAAAuAgAAZHJzL2Uyb0Rv&#10;Yy54bWxQSwECLQAUAAYACAAAACEA+gaPmuAAAAALAQAADwAAAAAAAAAAAAAAAAB+BAAAZHJzL2Rv&#10;d25yZXYueG1sUEsFBgAAAAAEAAQA8wAAAIsFAAAAAA==&#10;">
                <v:textbox>
                  <w:txbxContent>
                    <w:p w14:paraId="229D21CD" w14:textId="77777777" w:rsidR="001C1968" w:rsidRPr="00772824" w:rsidRDefault="001C1968" w:rsidP="006430E6">
                      <w:pPr>
                        <w:rPr>
                          <w:rFonts w:ascii="Tahoma" w:hAnsi="Tahoma" w:cs="Tahoma"/>
                        </w:rPr>
                      </w:pPr>
                      <w:r w:rsidRPr="0002051E">
                        <w:rPr>
                          <w:rFonts w:ascii="Tahoma" w:hAnsi="Tahoma" w:cs="Tahoma"/>
                          <w:b/>
                        </w:rPr>
                        <w:t>National Health and Wellbeing Outcome 8</w:t>
                      </w:r>
                      <w:r w:rsidRPr="00772824">
                        <w:rPr>
                          <w:rFonts w:ascii="Tahoma" w:hAnsi="Tahoma" w:cs="Tahoma"/>
                        </w:rPr>
                        <w:t>: People who work in health and social care services feel engaged with the work they do and are supported to continuously improve the information, care and treatment they provide.</w:t>
                      </w:r>
                    </w:p>
                  </w:txbxContent>
                </v:textbox>
                <w10:wrap type="square"/>
              </v:shape>
            </w:pict>
          </mc:Fallback>
        </mc:AlternateContent>
      </w:r>
      <w:r w:rsidR="006430E6">
        <w:rPr>
          <w:rFonts w:ascii="Tahoma" w:hAnsi="Tahoma" w:cs="Tahoma"/>
        </w:rPr>
        <w:t>An ‘engaged workforce’ is one of nine desired outcomes arising from the Public Bodies (Joint</w:t>
      </w:r>
      <w:r w:rsidR="006430E6" w:rsidRPr="006430E6">
        <w:rPr>
          <w:rFonts w:ascii="Tahoma" w:hAnsi="Tahoma" w:cs="Tahoma"/>
        </w:rPr>
        <w:t xml:space="preserve"> </w:t>
      </w:r>
      <w:r w:rsidR="006430E6" w:rsidRPr="004D4EB2">
        <w:rPr>
          <w:rFonts w:ascii="Tahoma" w:hAnsi="Tahoma" w:cs="Tahoma"/>
        </w:rPr>
        <w:t>Working) (Scotland) Act 2014.</w:t>
      </w:r>
      <w:r w:rsidR="001D2E82">
        <w:rPr>
          <w:rFonts w:ascii="Tahoma" w:hAnsi="Tahoma" w:cs="Tahoma"/>
        </w:rPr>
        <w:t xml:space="preserve"> </w:t>
      </w:r>
    </w:p>
    <w:p w14:paraId="31B5B97E" w14:textId="1F5BBF28" w:rsidR="006E39F6" w:rsidRDefault="005539DB" w:rsidP="006E39F6">
      <w:pPr>
        <w:rPr>
          <w:rFonts w:ascii="Tahoma" w:hAnsi="Tahoma" w:cs="Tahoma"/>
        </w:rPr>
      </w:pPr>
      <w:r>
        <w:rPr>
          <w:rFonts w:ascii="Tahoma" w:hAnsi="Tahoma" w:cs="Tahoma"/>
        </w:rPr>
        <w:t>In March 2014 a</w:t>
      </w:r>
      <w:r w:rsidR="006E39F6">
        <w:rPr>
          <w:rFonts w:ascii="Tahoma" w:hAnsi="Tahoma" w:cs="Tahoma"/>
        </w:rPr>
        <w:t xml:space="preserve"> meeting was convened by the Joint Improvement Team (JIT), which included representatives from the </w:t>
      </w:r>
      <w:r w:rsidR="00C83196">
        <w:rPr>
          <w:rFonts w:ascii="Tahoma" w:hAnsi="Tahoma" w:cs="Tahoma"/>
        </w:rPr>
        <w:t>Scottish Government - Health Workforce</w:t>
      </w:r>
      <w:r w:rsidR="006E39F6">
        <w:rPr>
          <w:rFonts w:ascii="Tahoma" w:hAnsi="Tahoma" w:cs="Tahoma"/>
        </w:rPr>
        <w:t xml:space="preserve">, Local </w:t>
      </w:r>
      <w:r w:rsidR="00C83196">
        <w:rPr>
          <w:rFonts w:ascii="Tahoma" w:hAnsi="Tahoma" w:cs="Tahoma"/>
        </w:rPr>
        <w:t>A</w:t>
      </w:r>
      <w:r w:rsidR="006E39F6">
        <w:rPr>
          <w:rFonts w:ascii="Tahoma" w:hAnsi="Tahoma" w:cs="Tahoma"/>
        </w:rPr>
        <w:t xml:space="preserve">uthorities, </w:t>
      </w:r>
      <w:r w:rsidR="00C83196" w:rsidRPr="0002051E">
        <w:rPr>
          <w:rFonts w:ascii="Tahoma" w:hAnsi="Tahoma" w:cs="Tahoma"/>
        </w:rPr>
        <w:t>CCPS</w:t>
      </w:r>
      <w:r w:rsidR="001D2E82" w:rsidRPr="0002051E">
        <w:rPr>
          <w:rFonts w:ascii="Tahoma" w:hAnsi="Tahoma" w:cs="Tahoma"/>
        </w:rPr>
        <w:t xml:space="preserve">, </w:t>
      </w:r>
      <w:r w:rsidR="00C83196" w:rsidRPr="0002051E">
        <w:rPr>
          <w:rFonts w:ascii="Tahoma" w:hAnsi="Tahoma" w:cs="Tahoma"/>
        </w:rPr>
        <w:t>Scottish Care</w:t>
      </w:r>
      <w:r w:rsidR="00C83196">
        <w:rPr>
          <w:rFonts w:ascii="Tahoma" w:hAnsi="Tahoma" w:cs="Tahoma"/>
        </w:rPr>
        <w:t xml:space="preserve">, </w:t>
      </w:r>
      <w:r w:rsidR="006E39F6">
        <w:rPr>
          <w:rFonts w:ascii="Tahoma" w:hAnsi="Tahoma" w:cs="Tahoma"/>
        </w:rPr>
        <w:t>the Scottish Social Services Council (SSSC)</w:t>
      </w:r>
      <w:r>
        <w:rPr>
          <w:rFonts w:ascii="Tahoma" w:hAnsi="Tahoma" w:cs="Tahoma"/>
        </w:rPr>
        <w:t xml:space="preserve"> and the Care Inspectorate</w:t>
      </w:r>
      <w:r w:rsidR="00C83196">
        <w:rPr>
          <w:rFonts w:ascii="Tahoma" w:hAnsi="Tahoma" w:cs="Tahoma"/>
        </w:rPr>
        <w:t xml:space="preserve">. The purpose </w:t>
      </w:r>
      <w:r w:rsidR="00603D38">
        <w:rPr>
          <w:rFonts w:ascii="Tahoma" w:hAnsi="Tahoma" w:cs="Tahoma"/>
        </w:rPr>
        <w:t xml:space="preserve">was </w:t>
      </w:r>
      <w:r w:rsidR="006E39F6">
        <w:rPr>
          <w:rFonts w:ascii="Tahoma" w:hAnsi="Tahoma" w:cs="Tahoma"/>
        </w:rPr>
        <w:t xml:space="preserve">to see what </w:t>
      </w:r>
      <w:r w:rsidR="0036419F">
        <w:rPr>
          <w:rFonts w:ascii="Tahoma" w:hAnsi="Tahoma" w:cs="Tahoma"/>
        </w:rPr>
        <w:t xml:space="preserve">information </w:t>
      </w:r>
      <w:r w:rsidR="006E39F6">
        <w:rPr>
          <w:rFonts w:ascii="Tahoma" w:hAnsi="Tahoma" w:cs="Tahoma"/>
        </w:rPr>
        <w:t>could be gathered to identify trends in workforce engag</w:t>
      </w:r>
      <w:r w:rsidR="00E26FD5">
        <w:rPr>
          <w:rFonts w:ascii="Tahoma" w:hAnsi="Tahoma" w:cs="Tahoma"/>
        </w:rPr>
        <w:t>ement</w:t>
      </w:r>
      <w:r w:rsidR="00603D38">
        <w:rPr>
          <w:rFonts w:ascii="Tahoma" w:hAnsi="Tahoma" w:cs="Tahoma"/>
        </w:rPr>
        <w:t xml:space="preserve"> </w:t>
      </w:r>
      <w:r w:rsidR="00E26FD5">
        <w:rPr>
          <w:rFonts w:ascii="Tahoma" w:hAnsi="Tahoma" w:cs="Tahoma"/>
        </w:rPr>
        <w:t xml:space="preserve">as integration progresses. It was </w:t>
      </w:r>
      <w:r w:rsidR="0036419F">
        <w:rPr>
          <w:rFonts w:ascii="Tahoma" w:hAnsi="Tahoma" w:cs="Tahoma"/>
        </w:rPr>
        <w:t>believed</w:t>
      </w:r>
      <w:r w:rsidR="00E26FD5">
        <w:rPr>
          <w:rFonts w:ascii="Tahoma" w:hAnsi="Tahoma" w:cs="Tahoma"/>
        </w:rPr>
        <w:t xml:space="preserve"> that there will be a need to generate comparable data for all 32 local partnership areas to underpin the anticipated accountability processes associated with integration.</w:t>
      </w:r>
    </w:p>
    <w:p w14:paraId="2399E6A6" w14:textId="77777777" w:rsidR="00603D38" w:rsidRDefault="00C83196" w:rsidP="00E26FD5">
      <w:pPr>
        <w:rPr>
          <w:rFonts w:ascii="Tahoma" w:hAnsi="Tahoma" w:cs="Tahoma"/>
        </w:rPr>
      </w:pPr>
      <w:r>
        <w:rPr>
          <w:rFonts w:ascii="Tahoma" w:hAnsi="Tahoma" w:cs="Tahoma"/>
        </w:rPr>
        <w:t xml:space="preserve">Chris Bruce from the JIT asked if </w:t>
      </w:r>
      <w:r w:rsidR="00603D38">
        <w:rPr>
          <w:rFonts w:ascii="Tahoma" w:hAnsi="Tahoma" w:cs="Tahoma"/>
        </w:rPr>
        <w:t>a</w:t>
      </w:r>
      <w:r>
        <w:rPr>
          <w:rFonts w:ascii="Tahoma" w:hAnsi="Tahoma" w:cs="Tahoma"/>
        </w:rPr>
        <w:t xml:space="preserve"> single</w:t>
      </w:r>
      <w:r w:rsidR="00603D38">
        <w:rPr>
          <w:rFonts w:ascii="Tahoma" w:hAnsi="Tahoma" w:cs="Tahoma"/>
        </w:rPr>
        <w:t xml:space="preserve"> common question could be posed through staff surveys that would start to give local integration authorities some data on </w:t>
      </w:r>
      <w:r>
        <w:rPr>
          <w:rFonts w:ascii="Tahoma" w:hAnsi="Tahoma" w:cs="Tahoma"/>
        </w:rPr>
        <w:t>levels of engagement</w:t>
      </w:r>
      <w:r w:rsidR="00603D38">
        <w:rPr>
          <w:rFonts w:ascii="Tahoma" w:hAnsi="Tahoma" w:cs="Tahoma"/>
        </w:rPr>
        <w:t xml:space="preserve">. </w:t>
      </w:r>
    </w:p>
    <w:p w14:paraId="623239E8" w14:textId="77777777" w:rsidR="00603D38" w:rsidRDefault="00E26FD5" w:rsidP="00603D38">
      <w:pPr>
        <w:rPr>
          <w:rFonts w:ascii="Tahoma" w:hAnsi="Tahoma" w:cs="Tahoma"/>
        </w:rPr>
      </w:pPr>
      <w:r>
        <w:rPr>
          <w:rFonts w:ascii="Tahoma" w:hAnsi="Tahoma" w:cs="Tahoma"/>
        </w:rPr>
        <w:t xml:space="preserve">The indicator chosen by the Scottish Government as a proxy for staff engagement is, ‘the percentage of staff who </w:t>
      </w:r>
      <w:proofErr w:type="gramStart"/>
      <w:r>
        <w:rPr>
          <w:rFonts w:ascii="Tahoma" w:hAnsi="Tahoma" w:cs="Tahoma"/>
        </w:rPr>
        <w:t>say</w:t>
      </w:r>
      <w:proofErr w:type="gramEnd"/>
      <w:r>
        <w:rPr>
          <w:rFonts w:ascii="Tahoma" w:hAnsi="Tahoma" w:cs="Tahoma"/>
        </w:rPr>
        <w:t xml:space="preserve"> they would recommend their workplace as a good place to work’</w:t>
      </w:r>
      <w:r w:rsidR="00603D38">
        <w:rPr>
          <w:rFonts w:ascii="Tahoma" w:hAnsi="Tahoma" w:cs="Tahoma"/>
        </w:rPr>
        <w:t xml:space="preserve"> and so</w:t>
      </w:r>
      <w:r w:rsidR="000E07BB">
        <w:rPr>
          <w:rFonts w:ascii="Tahoma" w:hAnsi="Tahoma" w:cs="Tahoma"/>
        </w:rPr>
        <w:t>,</w:t>
      </w:r>
      <w:r w:rsidR="00603D38">
        <w:rPr>
          <w:rFonts w:ascii="Tahoma" w:hAnsi="Tahoma" w:cs="Tahoma"/>
        </w:rPr>
        <w:t xml:space="preserve"> </w:t>
      </w:r>
      <w:r w:rsidR="00603D38" w:rsidRPr="00772824">
        <w:rPr>
          <w:rFonts w:ascii="Tahoma" w:hAnsi="Tahoma" w:cs="Tahoma"/>
          <w:i/>
        </w:rPr>
        <w:t>‘Would you recommend your workplace as a good place to work?’</w:t>
      </w:r>
      <w:r w:rsidR="00603D38">
        <w:rPr>
          <w:rFonts w:ascii="Tahoma" w:hAnsi="Tahoma" w:cs="Tahoma"/>
          <w:i/>
        </w:rPr>
        <w:t xml:space="preserve"> </w:t>
      </w:r>
      <w:r w:rsidR="00603D38" w:rsidRPr="00CE4659">
        <w:rPr>
          <w:rFonts w:ascii="Tahoma" w:hAnsi="Tahoma" w:cs="Tahoma"/>
        </w:rPr>
        <w:t xml:space="preserve">was </w:t>
      </w:r>
      <w:r w:rsidR="00603D38">
        <w:rPr>
          <w:rFonts w:ascii="Tahoma" w:hAnsi="Tahoma" w:cs="Tahoma"/>
        </w:rPr>
        <w:t>selected as the</w:t>
      </w:r>
      <w:r w:rsidR="0036419F">
        <w:rPr>
          <w:rFonts w:ascii="Tahoma" w:hAnsi="Tahoma" w:cs="Tahoma"/>
        </w:rPr>
        <w:t xml:space="preserve"> single common</w:t>
      </w:r>
      <w:r w:rsidR="00603D38">
        <w:rPr>
          <w:rFonts w:ascii="Tahoma" w:hAnsi="Tahoma" w:cs="Tahoma"/>
        </w:rPr>
        <w:t xml:space="preserve"> question.</w:t>
      </w:r>
    </w:p>
    <w:p w14:paraId="3BE45DB0" w14:textId="77777777" w:rsidR="00A22DC8" w:rsidRDefault="00603D38" w:rsidP="00A22DC8">
      <w:pPr>
        <w:rPr>
          <w:rFonts w:ascii="Tahoma" w:hAnsi="Tahoma" w:cs="Tahoma"/>
        </w:rPr>
      </w:pPr>
      <w:r>
        <w:rPr>
          <w:rFonts w:ascii="Tahoma" w:hAnsi="Tahoma" w:cs="Tahoma"/>
        </w:rPr>
        <w:t>There was</w:t>
      </w:r>
      <w:r w:rsidR="000E07BB">
        <w:rPr>
          <w:rFonts w:ascii="Tahoma" w:hAnsi="Tahoma" w:cs="Tahoma"/>
        </w:rPr>
        <w:t>,</w:t>
      </w:r>
      <w:r>
        <w:rPr>
          <w:rFonts w:ascii="Tahoma" w:hAnsi="Tahoma" w:cs="Tahoma"/>
        </w:rPr>
        <w:t xml:space="preserve"> and remains</w:t>
      </w:r>
      <w:r w:rsidR="000E07BB">
        <w:rPr>
          <w:rFonts w:ascii="Tahoma" w:hAnsi="Tahoma" w:cs="Tahoma"/>
        </w:rPr>
        <w:t>,</w:t>
      </w:r>
      <w:r>
        <w:rPr>
          <w:rFonts w:ascii="Tahoma" w:hAnsi="Tahoma" w:cs="Tahoma"/>
        </w:rPr>
        <w:t xml:space="preserve"> considerable debate as to whether </w:t>
      </w:r>
      <w:r w:rsidR="004C48C4">
        <w:rPr>
          <w:rFonts w:ascii="Tahoma" w:hAnsi="Tahoma" w:cs="Tahoma"/>
        </w:rPr>
        <w:t>satisfaction in the workplace is an appropriate outcome indicator of engagement in the context of integration.</w:t>
      </w:r>
      <w:r w:rsidR="00A22DC8">
        <w:rPr>
          <w:rFonts w:ascii="Tahoma" w:hAnsi="Tahoma" w:cs="Tahoma"/>
        </w:rPr>
        <w:t xml:space="preserve"> Nevertheless</w:t>
      </w:r>
      <w:r w:rsidR="0036419F">
        <w:rPr>
          <w:rFonts w:ascii="Tahoma" w:hAnsi="Tahoma" w:cs="Tahoma"/>
        </w:rPr>
        <w:t>,</w:t>
      </w:r>
      <w:r w:rsidR="00A22DC8">
        <w:rPr>
          <w:rFonts w:ascii="Tahoma" w:hAnsi="Tahoma" w:cs="Tahoma"/>
        </w:rPr>
        <w:t xml:space="preserve"> it was agreed that it was important to start with a</w:t>
      </w:r>
      <w:r w:rsidR="000E07BB">
        <w:rPr>
          <w:rFonts w:ascii="Tahoma" w:hAnsi="Tahoma" w:cs="Tahoma"/>
        </w:rPr>
        <w:t xml:space="preserve"> fairly</w:t>
      </w:r>
      <w:r w:rsidR="00A22DC8">
        <w:rPr>
          <w:rFonts w:ascii="Tahoma" w:hAnsi="Tahoma" w:cs="Tahoma"/>
        </w:rPr>
        <w:t xml:space="preserve"> simple and achievable means of investigating engagement and develop </w:t>
      </w:r>
      <w:r w:rsidR="000E07BB">
        <w:rPr>
          <w:rFonts w:ascii="Tahoma" w:hAnsi="Tahoma" w:cs="Tahoma"/>
        </w:rPr>
        <w:t xml:space="preserve">future </w:t>
      </w:r>
      <w:r w:rsidR="0036419F">
        <w:rPr>
          <w:rFonts w:ascii="Tahoma" w:hAnsi="Tahoma" w:cs="Tahoma"/>
        </w:rPr>
        <w:t xml:space="preserve">approaches </w:t>
      </w:r>
      <w:r w:rsidR="00A22DC8">
        <w:rPr>
          <w:rFonts w:ascii="Tahoma" w:hAnsi="Tahoma" w:cs="Tahoma"/>
        </w:rPr>
        <w:t>from any learning</w:t>
      </w:r>
      <w:r w:rsidR="0036419F">
        <w:rPr>
          <w:rFonts w:ascii="Tahoma" w:hAnsi="Tahoma" w:cs="Tahoma"/>
        </w:rPr>
        <w:t xml:space="preserve"> gained</w:t>
      </w:r>
      <w:r w:rsidR="00A22DC8">
        <w:rPr>
          <w:rFonts w:ascii="Tahoma" w:hAnsi="Tahoma" w:cs="Tahoma"/>
        </w:rPr>
        <w:t>.</w:t>
      </w:r>
    </w:p>
    <w:p w14:paraId="3B2C8683" w14:textId="1B1D893C" w:rsidR="006430E6" w:rsidRDefault="006E39F6" w:rsidP="006E39F6">
      <w:pPr>
        <w:rPr>
          <w:rFonts w:ascii="Tahoma" w:hAnsi="Tahoma" w:cs="Tahoma"/>
          <w:b/>
        </w:rPr>
      </w:pPr>
      <w:r>
        <w:rPr>
          <w:rFonts w:ascii="Tahoma" w:hAnsi="Tahoma" w:cs="Tahoma"/>
        </w:rPr>
        <w:t xml:space="preserve">The NHS and Local Authorities agreed to embed </w:t>
      </w:r>
      <w:r w:rsidR="00A22DC8">
        <w:rPr>
          <w:rFonts w:ascii="Tahoma" w:hAnsi="Tahoma" w:cs="Tahoma"/>
        </w:rPr>
        <w:t>this question</w:t>
      </w:r>
      <w:r>
        <w:rPr>
          <w:rFonts w:ascii="Tahoma" w:hAnsi="Tahoma" w:cs="Tahoma"/>
        </w:rPr>
        <w:t xml:space="preserve"> in their staff surveys. </w:t>
      </w:r>
      <w:r w:rsidR="00A22DC8">
        <w:rPr>
          <w:rFonts w:ascii="Tahoma" w:hAnsi="Tahoma" w:cs="Tahoma"/>
        </w:rPr>
        <w:t xml:space="preserve">However, although some voluntary and independent sector </w:t>
      </w:r>
      <w:r>
        <w:rPr>
          <w:rFonts w:ascii="Tahoma" w:hAnsi="Tahoma" w:cs="Tahoma"/>
        </w:rPr>
        <w:t>providers conduct regular staff surveys and some even use this question amongst others as a means of determining workplace satisfaction</w:t>
      </w:r>
      <w:r w:rsidR="00A22DC8">
        <w:rPr>
          <w:rFonts w:ascii="Tahoma" w:hAnsi="Tahoma" w:cs="Tahoma"/>
        </w:rPr>
        <w:t>, it was felt impractical to attempt to sample existing surveys to get comparative data.</w:t>
      </w:r>
    </w:p>
    <w:p w14:paraId="36312C0D" w14:textId="77777777" w:rsidR="0013332F" w:rsidRPr="00143912" w:rsidRDefault="0013332F" w:rsidP="006E39F6">
      <w:pPr>
        <w:rPr>
          <w:rFonts w:ascii="Tahoma" w:hAnsi="Tahoma" w:cs="Tahoma"/>
          <w:b/>
        </w:rPr>
      </w:pPr>
      <w:r w:rsidRPr="00143912">
        <w:rPr>
          <w:rFonts w:ascii="Tahoma" w:hAnsi="Tahoma" w:cs="Tahoma"/>
          <w:b/>
        </w:rPr>
        <w:t xml:space="preserve">The Voluntary and Independent Sector </w:t>
      </w:r>
      <w:r w:rsidR="00143912" w:rsidRPr="00143912">
        <w:rPr>
          <w:rFonts w:ascii="Tahoma" w:hAnsi="Tahoma" w:cs="Tahoma"/>
          <w:b/>
        </w:rPr>
        <w:t>Survey</w:t>
      </w:r>
    </w:p>
    <w:p w14:paraId="1773CE1C" w14:textId="77777777" w:rsidR="00621A3A" w:rsidRDefault="00143912" w:rsidP="006E39F6">
      <w:pPr>
        <w:rPr>
          <w:rFonts w:ascii="Tahoma" w:hAnsi="Tahoma" w:cs="Tahoma"/>
        </w:rPr>
      </w:pPr>
      <w:r>
        <w:rPr>
          <w:rFonts w:ascii="Tahoma" w:hAnsi="Tahoma" w:cs="Tahoma"/>
        </w:rPr>
        <w:t xml:space="preserve">As a consequence of the meeting described above and at the request of the JIT, </w:t>
      </w:r>
      <w:r w:rsidR="00621A3A">
        <w:rPr>
          <w:rFonts w:ascii="Tahoma" w:hAnsi="Tahoma" w:cs="Tahoma"/>
        </w:rPr>
        <w:t>CCPS and Scottish Care agreed to work with the SSSC</w:t>
      </w:r>
      <w:r>
        <w:rPr>
          <w:rFonts w:ascii="Tahoma" w:hAnsi="Tahoma" w:cs="Tahoma"/>
        </w:rPr>
        <w:t xml:space="preserve"> </w:t>
      </w:r>
      <w:r w:rsidR="0013332F">
        <w:rPr>
          <w:rFonts w:ascii="Tahoma" w:hAnsi="Tahoma" w:cs="Tahoma"/>
        </w:rPr>
        <w:t>so that it could</w:t>
      </w:r>
      <w:r w:rsidR="00621A3A">
        <w:rPr>
          <w:rFonts w:ascii="Tahoma" w:hAnsi="Tahoma" w:cs="Tahoma"/>
        </w:rPr>
        <w:t xml:space="preserve"> conduct a national survey in which the ‘one common question</w:t>
      </w:r>
      <w:r w:rsidR="0036419F">
        <w:rPr>
          <w:rFonts w:ascii="Tahoma" w:hAnsi="Tahoma" w:cs="Tahoma"/>
        </w:rPr>
        <w:t>’</w:t>
      </w:r>
      <w:r w:rsidR="00621A3A">
        <w:rPr>
          <w:rFonts w:ascii="Tahoma" w:hAnsi="Tahoma" w:cs="Tahoma"/>
        </w:rPr>
        <w:t xml:space="preserve"> would be asked. However</w:t>
      </w:r>
      <w:r w:rsidR="0013332F">
        <w:rPr>
          <w:rFonts w:ascii="Tahoma" w:hAnsi="Tahoma" w:cs="Tahoma"/>
        </w:rPr>
        <w:t>,</w:t>
      </w:r>
      <w:r w:rsidR="00621A3A">
        <w:rPr>
          <w:rFonts w:ascii="Tahoma" w:hAnsi="Tahoma" w:cs="Tahoma"/>
        </w:rPr>
        <w:t xml:space="preserve"> this was considered an </w:t>
      </w:r>
      <w:r w:rsidR="0036419F">
        <w:rPr>
          <w:rFonts w:ascii="Tahoma" w:hAnsi="Tahoma" w:cs="Tahoma"/>
        </w:rPr>
        <w:t xml:space="preserve">excellent </w:t>
      </w:r>
      <w:r w:rsidR="00621A3A">
        <w:rPr>
          <w:rFonts w:ascii="Tahoma" w:hAnsi="Tahoma" w:cs="Tahoma"/>
        </w:rPr>
        <w:t>opportunity to test out some other questions that could help to measure engagement in relation to integration</w:t>
      </w:r>
      <w:r w:rsidR="0036419F">
        <w:rPr>
          <w:rFonts w:ascii="Tahoma" w:hAnsi="Tahoma" w:cs="Tahoma"/>
        </w:rPr>
        <w:t xml:space="preserve"> and to explore how effective this type of survey approach is likely to be at identifying engagement trends as integration progresses. </w:t>
      </w:r>
      <w:r w:rsidR="0013332F">
        <w:rPr>
          <w:rFonts w:ascii="Tahoma" w:hAnsi="Tahoma" w:cs="Tahoma"/>
        </w:rPr>
        <w:t xml:space="preserve">It was </w:t>
      </w:r>
      <w:r w:rsidR="000E07BB">
        <w:rPr>
          <w:rFonts w:ascii="Tahoma" w:hAnsi="Tahoma" w:cs="Tahoma"/>
        </w:rPr>
        <w:t xml:space="preserve">also </w:t>
      </w:r>
      <w:r w:rsidR="0013332F">
        <w:rPr>
          <w:rFonts w:ascii="Tahoma" w:hAnsi="Tahoma" w:cs="Tahoma"/>
        </w:rPr>
        <w:t>hoped that the findings from this piece of work could help providers further develop their own engagement strategies.</w:t>
      </w:r>
    </w:p>
    <w:p w14:paraId="50B6C46A" w14:textId="77777777" w:rsidR="00C3107F" w:rsidRDefault="0036419F" w:rsidP="00C3107F">
      <w:pPr>
        <w:rPr>
          <w:rFonts w:ascii="Tahoma" w:hAnsi="Tahoma" w:cs="Tahoma"/>
        </w:rPr>
      </w:pPr>
      <w:r>
        <w:rPr>
          <w:rFonts w:ascii="Tahoma" w:hAnsi="Tahoma" w:cs="Tahoma"/>
        </w:rPr>
        <w:t>T</w:t>
      </w:r>
      <w:r w:rsidR="0090650C">
        <w:rPr>
          <w:rFonts w:ascii="Tahoma" w:hAnsi="Tahoma" w:cs="Tahoma"/>
        </w:rPr>
        <w:t>h</w:t>
      </w:r>
      <w:r>
        <w:rPr>
          <w:rFonts w:ascii="Tahoma" w:hAnsi="Tahoma" w:cs="Tahoma"/>
        </w:rPr>
        <w:t>ree</w:t>
      </w:r>
      <w:r w:rsidR="0090650C">
        <w:rPr>
          <w:rFonts w:ascii="Tahoma" w:hAnsi="Tahoma" w:cs="Tahoma"/>
        </w:rPr>
        <w:t xml:space="preserve"> additional questions </w:t>
      </w:r>
      <w:r w:rsidR="00C3107F">
        <w:rPr>
          <w:rFonts w:ascii="Tahoma" w:hAnsi="Tahoma" w:cs="Tahoma"/>
        </w:rPr>
        <w:t>were</w:t>
      </w:r>
      <w:r w:rsidR="0013332F">
        <w:rPr>
          <w:rFonts w:ascii="Tahoma" w:hAnsi="Tahoma" w:cs="Tahoma"/>
        </w:rPr>
        <w:t xml:space="preserve"> drafted</w:t>
      </w:r>
      <w:r w:rsidR="000E07BB">
        <w:rPr>
          <w:rFonts w:ascii="Tahoma" w:hAnsi="Tahoma" w:cs="Tahoma"/>
        </w:rPr>
        <w:t>,</w:t>
      </w:r>
      <w:r w:rsidR="0013332F">
        <w:rPr>
          <w:rFonts w:ascii="Tahoma" w:hAnsi="Tahoma" w:cs="Tahoma"/>
        </w:rPr>
        <w:t xml:space="preserve"> </w:t>
      </w:r>
      <w:r w:rsidR="00C3107F">
        <w:rPr>
          <w:rFonts w:ascii="Tahoma" w:hAnsi="Tahoma" w:cs="Tahoma"/>
        </w:rPr>
        <w:t>all aimed at finding out about aspects of engagement</w:t>
      </w:r>
      <w:r w:rsidR="0013332F">
        <w:rPr>
          <w:rFonts w:ascii="Tahoma" w:hAnsi="Tahoma" w:cs="Tahoma"/>
        </w:rPr>
        <w:t>.</w:t>
      </w:r>
      <w:r w:rsidR="00C3107F">
        <w:rPr>
          <w:rFonts w:ascii="Tahoma" w:hAnsi="Tahoma" w:cs="Tahoma"/>
        </w:rPr>
        <w:t xml:space="preserve"> These were questions about how:</w:t>
      </w:r>
    </w:p>
    <w:p w14:paraId="0E99F1D9" w14:textId="77777777" w:rsidR="00C3107F" w:rsidRPr="00772824" w:rsidRDefault="00C3107F" w:rsidP="00C3107F">
      <w:pPr>
        <w:pStyle w:val="ListParagraph"/>
        <w:numPr>
          <w:ilvl w:val="0"/>
          <w:numId w:val="8"/>
        </w:numPr>
        <w:spacing w:after="160" w:line="259" w:lineRule="auto"/>
        <w:rPr>
          <w:rFonts w:ascii="Tahoma" w:hAnsi="Tahoma" w:cs="Tahoma"/>
        </w:rPr>
      </w:pPr>
      <w:r w:rsidRPr="00C3107F">
        <w:rPr>
          <w:rFonts w:ascii="Tahoma" w:hAnsi="Tahoma" w:cs="Tahoma"/>
          <w:b/>
        </w:rPr>
        <w:t>Involved</w:t>
      </w:r>
      <w:r w:rsidRPr="00772824">
        <w:rPr>
          <w:rFonts w:ascii="Tahoma" w:hAnsi="Tahoma" w:cs="Tahoma"/>
        </w:rPr>
        <w:t xml:space="preserve"> people felt they were in the running of their service or organisation;</w:t>
      </w:r>
    </w:p>
    <w:p w14:paraId="42DFD56B" w14:textId="77777777" w:rsidR="00C3107F" w:rsidRPr="00772824" w:rsidRDefault="00C3107F" w:rsidP="00C3107F">
      <w:pPr>
        <w:pStyle w:val="ListParagraph"/>
        <w:numPr>
          <w:ilvl w:val="0"/>
          <w:numId w:val="8"/>
        </w:numPr>
        <w:spacing w:after="160" w:line="259" w:lineRule="auto"/>
        <w:rPr>
          <w:rFonts w:ascii="Tahoma" w:hAnsi="Tahoma" w:cs="Tahoma"/>
        </w:rPr>
      </w:pPr>
      <w:r w:rsidRPr="00C3107F">
        <w:rPr>
          <w:rFonts w:ascii="Tahoma" w:hAnsi="Tahoma" w:cs="Tahoma"/>
          <w:b/>
        </w:rPr>
        <w:t>Valued</w:t>
      </w:r>
      <w:r w:rsidRPr="00772824">
        <w:rPr>
          <w:rFonts w:ascii="Tahoma" w:hAnsi="Tahoma" w:cs="Tahoma"/>
        </w:rPr>
        <w:t xml:space="preserve"> people felt their role was relative to colleagues in </w:t>
      </w:r>
      <w:r w:rsidR="00CE0C28">
        <w:rPr>
          <w:rFonts w:ascii="Tahoma" w:hAnsi="Tahoma" w:cs="Tahoma"/>
        </w:rPr>
        <w:t>other organisations/sectors and;</w:t>
      </w:r>
    </w:p>
    <w:p w14:paraId="200B3D91" w14:textId="77777777" w:rsidR="00C3107F" w:rsidRDefault="00C3107F" w:rsidP="00C3107F">
      <w:pPr>
        <w:pStyle w:val="ListParagraph"/>
        <w:numPr>
          <w:ilvl w:val="0"/>
          <w:numId w:val="8"/>
        </w:numPr>
        <w:spacing w:after="160" w:line="259" w:lineRule="auto"/>
        <w:rPr>
          <w:rFonts w:ascii="Tahoma" w:hAnsi="Tahoma" w:cs="Tahoma"/>
        </w:rPr>
      </w:pPr>
      <w:r>
        <w:rPr>
          <w:rFonts w:ascii="Tahoma" w:hAnsi="Tahoma" w:cs="Tahoma"/>
        </w:rPr>
        <w:t xml:space="preserve">The extent to which employees felt they had </w:t>
      </w:r>
      <w:r w:rsidRPr="00C3107F">
        <w:rPr>
          <w:rFonts w:ascii="Tahoma" w:hAnsi="Tahoma" w:cs="Tahoma"/>
          <w:b/>
        </w:rPr>
        <w:t>opportunity to support people in a personal outcomes-focussed way</w:t>
      </w:r>
      <w:r w:rsidRPr="00772824">
        <w:rPr>
          <w:rFonts w:ascii="Tahoma" w:hAnsi="Tahoma" w:cs="Tahoma"/>
        </w:rPr>
        <w:t>.</w:t>
      </w:r>
    </w:p>
    <w:p w14:paraId="6A45B964" w14:textId="51C188FF" w:rsidR="00C3107F" w:rsidRDefault="00CE0C28" w:rsidP="00C3107F">
      <w:pPr>
        <w:rPr>
          <w:rFonts w:ascii="Tahoma" w:hAnsi="Tahoma" w:cs="Tahoma"/>
        </w:rPr>
      </w:pPr>
      <w:r>
        <w:rPr>
          <w:rFonts w:ascii="Tahoma" w:hAnsi="Tahoma" w:cs="Tahoma"/>
        </w:rPr>
        <w:t>I</w:t>
      </w:r>
      <w:r w:rsidR="00C3107F">
        <w:rPr>
          <w:rFonts w:ascii="Tahoma" w:hAnsi="Tahoma" w:cs="Tahoma"/>
        </w:rPr>
        <w:t>nvolve</w:t>
      </w:r>
      <w:r>
        <w:rPr>
          <w:rFonts w:ascii="Tahoma" w:hAnsi="Tahoma" w:cs="Tahoma"/>
        </w:rPr>
        <w:t>ment</w:t>
      </w:r>
      <w:r w:rsidR="00C3107F">
        <w:rPr>
          <w:rFonts w:ascii="Tahoma" w:hAnsi="Tahoma" w:cs="Tahoma"/>
        </w:rPr>
        <w:t xml:space="preserve"> in how the workplace runs is an indicator of engagement</w:t>
      </w:r>
      <w:r w:rsidR="00A20016">
        <w:rPr>
          <w:rFonts w:ascii="Tahoma" w:hAnsi="Tahoma" w:cs="Tahoma"/>
        </w:rPr>
        <w:t>,</w:t>
      </w:r>
      <w:r w:rsidR="00C3107F">
        <w:rPr>
          <w:rFonts w:ascii="Tahoma" w:hAnsi="Tahoma" w:cs="Tahoma"/>
        </w:rPr>
        <w:t xml:space="preserve"> irrespective of an integrated context.</w:t>
      </w:r>
      <w:r>
        <w:rPr>
          <w:rFonts w:ascii="Tahoma" w:hAnsi="Tahoma" w:cs="Tahoma"/>
        </w:rPr>
        <w:t xml:space="preserve"> F</w:t>
      </w:r>
      <w:r w:rsidR="00C3107F">
        <w:rPr>
          <w:rFonts w:ascii="Tahoma" w:hAnsi="Tahoma" w:cs="Tahoma"/>
        </w:rPr>
        <w:t>eeling less valued</w:t>
      </w:r>
      <w:r>
        <w:rPr>
          <w:rFonts w:ascii="Tahoma" w:hAnsi="Tahoma" w:cs="Tahoma"/>
        </w:rPr>
        <w:t xml:space="preserve"> relative to colleagues in the statutory sector</w:t>
      </w:r>
      <w:r w:rsidR="00C3107F">
        <w:rPr>
          <w:rFonts w:ascii="Tahoma" w:hAnsi="Tahoma" w:cs="Tahoma"/>
        </w:rPr>
        <w:t xml:space="preserve"> was </w:t>
      </w:r>
      <w:r>
        <w:rPr>
          <w:rFonts w:ascii="Tahoma" w:hAnsi="Tahoma" w:cs="Tahoma"/>
        </w:rPr>
        <w:t>an issue</w:t>
      </w:r>
      <w:r w:rsidR="00C3107F">
        <w:rPr>
          <w:rFonts w:ascii="Tahoma" w:hAnsi="Tahoma" w:cs="Tahoma"/>
        </w:rPr>
        <w:t xml:space="preserve"> raised by </w:t>
      </w:r>
      <w:r>
        <w:rPr>
          <w:rFonts w:ascii="Tahoma" w:hAnsi="Tahoma" w:cs="Tahoma"/>
        </w:rPr>
        <w:t xml:space="preserve">voluntary and independent sector </w:t>
      </w:r>
      <w:r w:rsidR="00C3107F">
        <w:rPr>
          <w:rFonts w:ascii="Tahoma" w:hAnsi="Tahoma" w:cs="Tahoma"/>
        </w:rPr>
        <w:t xml:space="preserve">providers </w:t>
      </w:r>
      <w:r w:rsidR="00CE4659">
        <w:rPr>
          <w:rFonts w:ascii="Tahoma" w:hAnsi="Tahoma" w:cs="Tahoma"/>
        </w:rPr>
        <w:t>that</w:t>
      </w:r>
      <w:r w:rsidR="00C3107F">
        <w:rPr>
          <w:rFonts w:ascii="Tahoma" w:hAnsi="Tahoma" w:cs="Tahoma"/>
        </w:rPr>
        <w:t xml:space="preserve"> were consulted </w:t>
      </w:r>
      <w:r>
        <w:rPr>
          <w:rFonts w:ascii="Tahoma" w:hAnsi="Tahoma" w:cs="Tahoma"/>
        </w:rPr>
        <w:t>when</w:t>
      </w:r>
      <w:r w:rsidR="00C3107F">
        <w:rPr>
          <w:rFonts w:ascii="Tahoma" w:hAnsi="Tahoma" w:cs="Tahoma"/>
        </w:rPr>
        <w:t xml:space="preserve"> the Integration legislation </w:t>
      </w:r>
      <w:r w:rsidR="00EA2165" w:rsidRPr="00EA2165">
        <w:rPr>
          <w:rFonts w:ascii="Tahoma" w:hAnsi="Tahoma" w:cs="Tahoma"/>
        </w:rPr>
        <w:t>was</w:t>
      </w:r>
      <w:r w:rsidR="001D2E82">
        <w:rPr>
          <w:rFonts w:ascii="Tahoma" w:hAnsi="Tahoma" w:cs="Tahoma"/>
          <w:color w:val="FF0000"/>
        </w:rPr>
        <w:t xml:space="preserve"> </w:t>
      </w:r>
      <w:r w:rsidR="00C3107F">
        <w:rPr>
          <w:rFonts w:ascii="Tahoma" w:hAnsi="Tahoma" w:cs="Tahoma"/>
        </w:rPr>
        <w:t xml:space="preserve">being created. A shift to an outcomes-focussed way of working is a desired outcome of </w:t>
      </w:r>
      <w:r>
        <w:rPr>
          <w:rFonts w:ascii="Tahoma" w:hAnsi="Tahoma" w:cs="Tahoma"/>
        </w:rPr>
        <w:t xml:space="preserve">both </w:t>
      </w:r>
      <w:r w:rsidR="00C3107F">
        <w:rPr>
          <w:rFonts w:ascii="Tahoma" w:hAnsi="Tahoma" w:cs="Tahoma"/>
        </w:rPr>
        <w:t>Integration and Self Directed Support legislation</w:t>
      </w:r>
      <w:r>
        <w:rPr>
          <w:rFonts w:ascii="Tahoma" w:hAnsi="Tahoma" w:cs="Tahoma"/>
        </w:rPr>
        <w:t>.</w:t>
      </w:r>
    </w:p>
    <w:p w14:paraId="0FE629BE" w14:textId="77777777" w:rsidR="00143912" w:rsidRDefault="00143912" w:rsidP="00143912">
      <w:pPr>
        <w:rPr>
          <w:rFonts w:ascii="Tahoma" w:hAnsi="Tahoma" w:cs="Tahoma"/>
        </w:rPr>
      </w:pPr>
      <w:r>
        <w:rPr>
          <w:rFonts w:ascii="Tahoma" w:hAnsi="Tahoma" w:cs="Tahoma"/>
        </w:rPr>
        <w:t>In addition to the four main questions, five ‘qualifier’ questions were also asked to enable the results to be sorted by:</w:t>
      </w:r>
    </w:p>
    <w:p w14:paraId="0BDC0D88" w14:textId="77777777" w:rsidR="00143912" w:rsidRDefault="00143912" w:rsidP="00143912">
      <w:pPr>
        <w:pStyle w:val="NoSpacing"/>
        <w:numPr>
          <w:ilvl w:val="0"/>
          <w:numId w:val="9"/>
        </w:numPr>
        <w:rPr>
          <w:rFonts w:ascii="Tahoma" w:hAnsi="Tahoma" w:cs="Tahoma"/>
        </w:rPr>
      </w:pPr>
      <w:r w:rsidRPr="00FC4C38">
        <w:rPr>
          <w:rFonts w:ascii="Tahoma" w:hAnsi="Tahoma" w:cs="Tahoma"/>
        </w:rPr>
        <w:t>Sector type</w:t>
      </w:r>
    </w:p>
    <w:p w14:paraId="13FFD407" w14:textId="77777777" w:rsidR="00143912" w:rsidRDefault="00143912" w:rsidP="00143912">
      <w:pPr>
        <w:pStyle w:val="NoSpacing"/>
        <w:numPr>
          <w:ilvl w:val="0"/>
          <w:numId w:val="9"/>
        </w:numPr>
        <w:rPr>
          <w:rFonts w:ascii="Tahoma" w:hAnsi="Tahoma" w:cs="Tahoma"/>
        </w:rPr>
      </w:pPr>
      <w:r>
        <w:rPr>
          <w:rFonts w:ascii="Tahoma" w:hAnsi="Tahoma" w:cs="Tahoma"/>
        </w:rPr>
        <w:t>SSSC Registration status</w:t>
      </w:r>
    </w:p>
    <w:p w14:paraId="5875DE2B" w14:textId="77777777" w:rsidR="00143912" w:rsidRDefault="00143912" w:rsidP="00143912">
      <w:pPr>
        <w:pStyle w:val="NoSpacing"/>
        <w:numPr>
          <w:ilvl w:val="0"/>
          <w:numId w:val="9"/>
        </w:numPr>
        <w:rPr>
          <w:rFonts w:ascii="Tahoma" w:hAnsi="Tahoma" w:cs="Tahoma"/>
        </w:rPr>
      </w:pPr>
      <w:r>
        <w:rPr>
          <w:rFonts w:ascii="Tahoma" w:hAnsi="Tahoma" w:cs="Tahoma"/>
        </w:rPr>
        <w:t>Service type</w:t>
      </w:r>
    </w:p>
    <w:p w14:paraId="3CD8F85B" w14:textId="77777777" w:rsidR="00143912" w:rsidRDefault="00143912" w:rsidP="00143912">
      <w:pPr>
        <w:pStyle w:val="NoSpacing"/>
        <w:numPr>
          <w:ilvl w:val="0"/>
          <w:numId w:val="9"/>
        </w:numPr>
        <w:rPr>
          <w:rFonts w:ascii="Tahoma" w:hAnsi="Tahoma" w:cs="Tahoma"/>
        </w:rPr>
      </w:pPr>
      <w:r>
        <w:rPr>
          <w:rFonts w:ascii="Tahoma" w:hAnsi="Tahoma" w:cs="Tahoma"/>
        </w:rPr>
        <w:t>Role</w:t>
      </w:r>
    </w:p>
    <w:p w14:paraId="6ABC81A4" w14:textId="77777777" w:rsidR="00143912" w:rsidRDefault="00143912" w:rsidP="00143912">
      <w:pPr>
        <w:pStyle w:val="NoSpacing"/>
        <w:numPr>
          <w:ilvl w:val="0"/>
          <w:numId w:val="9"/>
        </w:numPr>
        <w:rPr>
          <w:rFonts w:ascii="Tahoma" w:hAnsi="Tahoma" w:cs="Tahoma"/>
        </w:rPr>
      </w:pPr>
      <w:r w:rsidRPr="00CE4659">
        <w:rPr>
          <w:rFonts w:ascii="Tahoma" w:hAnsi="Tahoma" w:cs="Tahoma"/>
        </w:rPr>
        <w:t>Location (local authority area worked in)</w:t>
      </w:r>
    </w:p>
    <w:p w14:paraId="5CC64E76" w14:textId="77777777" w:rsidR="00143912" w:rsidRDefault="00143912" w:rsidP="00143912">
      <w:pPr>
        <w:pStyle w:val="NoSpacing"/>
      </w:pPr>
    </w:p>
    <w:p w14:paraId="3EBCF58F" w14:textId="77777777" w:rsidR="00143912" w:rsidRDefault="00143912">
      <w:pPr>
        <w:rPr>
          <w:rFonts w:ascii="Tahoma" w:hAnsi="Tahoma" w:cs="Tahoma"/>
        </w:rPr>
      </w:pPr>
      <w:r>
        <w:rPr>
          <w:rFonts w:ascii="Tahoma" w:hAnsi="Tahoma" w:cs="Tahoma"/>
        </w:rPr>
        <w:t xml:space="preserve">A major logistical difficulty was immediately encountered in issuing the survey.  The SSSC only has direct contact details for people who are </w:t>
      </w:r>
      <w:r w:rsidRPr="000E07BB">
        <w:rPr>
          <w:rFonts w:ascii="Tahoma" w:hAnsi="Tahoma" w:cs="Tahoma"/>
          <w:u w:val="single"/>
        </w:rPr>
        <w:t>registered</w:t>
      </w:r>
      <w:r>
        <w:rPr>
          <w:rFonts w:ascii="Tahoma" w:hAnsi="Tahoma" w:cs="Tahoma"/>
        </w:rPr>
        <w:t xml:space="preserve"> Social Workers, Managers or Social Service Workers.</w:t>
      </w:r>
    </w:p>
    <w:p w14:paraId="72254FFB" w14:textId="26C66074" w:rsidR="001E499E" w:rsidRDefault="00143912">
      <w:pPr>
        <w:rPr>
          <w:rFonts w:ascii="Tahoma" w:hAnsi="Tahoma" w:cs="Tahoma"/>
        </w:rPr>
      </w:pPr>
      <w:r>
        <w:rPr>
          <w:rFonts w:ascii="Tahoma" w:hAnsi="Tahoma" w:cs="Tahoma"/>
        </w:rPr>
        <w:t xml:space="preserve">The voluntary and independent sectors employ </w:t>
      </w:r>
      <w:r w:rsidR="00305144">
        <w:rPr>
          <w:rFonts w:ascii="Tahoma" w:hAnsi="Tahoma" w:cs="Tahoma"/>
        </w:rPr>
        <w:t>68% of the total social services workforce, around 129,000 people. Within this</w:t>
      </w:r>
      <w:r w:rsidR="00A20016">
        <w:rPr>
          <w:rFonts w:ascii="Tahoma" w:hAnsi="Tahoma" w:cs="Tahoma"/>
        </w:rPr>
        <w:t>, at the time of the survey</w:t>
      </w:r>
      <w:r w:rsidR="00BB0F8E">
        <w:rPr>
          <w:rFonts w:ascii="Tahoma" w:hAnsi="Tahoma" w:cs="Tahoma"/>
        </w:rPr>
        <w:t>,</w:t>
      </w:r>
      <w:r w:rsidR="00305144">
        <w:rPr>
          <w:rFonts w:ascii="Tahoma" w:hAnsi="Tahoma" w:cs="Tahoma"/>
        </w:rPr>
        <w:t xml:space="preserve"> </w:t>
      </w:r>
      <w:r w:rsidR="00BB0F8E">
        <w:rPr>
          <w:rFonts w:ascii="Tahoma" w:hAnsi="Tahoma" w:cs="Tahoma"/>
        </w:rPr>
        <w:t>less</w:t>
      </w:r>
      <w:r w:rsidR="0019156C">
        <w:rPr>
          <w:rFonts w:ascii="Tahoma" w:hAnsi="Tahoma" w:cs="Tahoma"/>
        </w:rPr>
        <w:t xml:space="preserve"> than a third </w:t>
      </w:r>
      <w:r w:rsidR="00305144">
        <w:rPr>
          <w:rFonts w:ascii="Tahoma" w:hAnsi="Tahoma" w:cs="Tahoma"/>
        </w:rPr>
        <w:t xml:space="preserve">are registered workers. This meant that the </w:t>
      </w:r>
      <w:r w:rsidR="00305144" w:rsidRPr="000E07BB">
        <w:rPr>
          <w:rFonts w:ascii="Tahoma" w:hAnsi="Tahoma" w:cs="Tahoma"/>
          <w:u w:val="single"/>
        </w:rPr>
        <w:t xml:space="preserve">unregistered </w:t>
      </w:r>
      <w:r w:rsidR="00305144">
        <w:rPr>
          <w:rFonts w:ascii="Tahoma" w:hAnsi="Tahoma" w:cs="Tahoma"/>
        </w:rPr>
        <w:t>component of the workforce could only be asked to complete the survey via the organisation they work for</w:t>
      </w:r>
      <w:r w:rsidR="001E499E">
        <w:rPr>
          <w:rFonts w:ascii="Tahoma" w:hAnsi="Tahoma" w:cs="Tahoma"/>
        </w:rPr>
        <w:t xml:space="preserve"> and so a request went out via the CCPS and Scottish Care provider networks.</w:t>
      </w:r>
    </w:p>
    <w:p w14:paraId="1C7A32A4" w14:textId="77777777" w:rsidR="00CE0C28" w:rsidRDefault="007B24D1" w:rsidP="00305144">
      <w:pPr>
        <w:pStyle w:val="NoSpacing"/>
        <w:rPr>
          <w:rFonts w:ascii="Tahoma" w:hAnsi="Tahoma" w:cs="Tahoma"/>
          <w:b/>
        </w:rPr>
      </w:pPr>
      <w:r>
        <w:rPr>
          <w:rFonts w:ascii="Tahoma" w:hAnsi="Tahoma" w:cs="Tahoma"/>
          <w:b/>
        </w:rPr>
        <w:t>The responses</w:t>
      </w:r>
    </w:p>
    <w:p w14:paraId="16F58B22" w14:textId="77777777" w:rsidR="00CE0C28" w:rsidRDefault="00CE0C28" w:rsidP="00CE4659">
      <w:pPr>
        <w:pStyle w:val="NoSpacing"/>
        <w:ind w:left="360"/>
        <w:rPr>
          <w:rFonts w:ascii="Tahoma" w:hAnsi="Tahoma" w:cs="Tahoma"/>
          <w:b/>
        </w:rPr>
      </w:pPr>
    </w:p>
    <w:p w14:paraId="4E10F69E" w14:textId="236EF984" w:rsidR="00B44F56" w:rsidRPr="007A4708" w:rsidRDefault="001859C8" w:rsidP="000C4926">
      <w:pPr>
        <w:rPr>
          <w:rFonts w:ascii="Tahoma" w:hAnsi="Tahoma" w:cs="Tahoma"/>
          <w:color w:val="FF0000"/>
        </w:rPr>
      </w:pPr>
      <w:r>
        <w:rPr>
          <w:rFonts w:ascii="Tahoma" w:hAnsi="Tahoma" w:cs="Tahoma"/>
        </w:rPr>
        <w:t xml:space="preserve">The survey was sent </w:t>
      </w:r>
      <w:r w:rsidR="000C4926">
        <w:rPr>
          <w:rFonts w:ascii="Tahoma" w:hAnsi="Tahoma" w:cs="Tahoma"/>
        </w:rPr>
        <w:t xml:space="preserve">out </w:t>
      </w:r>
      <w:r w:rsidR="00B44F56">
        <w:rPr>
          <w:rFonts w:ascii="Tahoma" w:hAnsi="Tahoma" w:cs="Tahoma"/>
        </w:rPr>
        <w:t xml:space="preserve">directly to </w:t>
      </w:r>
      <w:r w:rsidR="0019156C">
        <w:rPr>
          <w:rFonts w:ascii="Tahoma" w:hAnsi="Tahoma" w:cs="Tahoma"/>
        </w:rPr>
        <w:t xml:space="preserve">34,976 </w:t>
      </w:r>
      <w:r w:rsidR="00B44F56">
        <w:rPr>
          <w:rFonts w:ascii="Tahoma" w:hAnsi="Tahoma" w:cs="Tahoma"/>
        </w:rPr>
        <w:t xml:space="preserve">registrants </w:t>
      </w:r>
      <w:r w:rsidR="000C4926">
        <w:rPr>
          <w:rFonts w:ascii="Tahoma" w:hAnsi="Tahoma" w:cs="Tahoma"/>
        </w:rPr>
        <w:t xml:space="preserve">by the SSSC on 4 March 2015 and closed at the end of that month. </w:t>
      </w:r>
      <w:r w:rsidR="00B44F56">
        <w:rPr>
          <w:rFonts w:ascii="Tahoma" w:hAnsi="Tahoma" w:cs="Tahoma"/>
        </w:rPr>
        <w:t xml:space="preserve">It was also distributed </w:t>
      </w:r>
      <w:r w:rsidR="000C4926">
        <w:rPr>
          <w:rFonts w:ascii="Tahoma" w:hAnsi="Tahoma" w:cs="Tahoma"/>
        </w:rPr>
        <w:t>via providers</w:t>
      </w:r>
      <w:r w:rsidR="00B44F56">
        <w:rPr>
          <w:rFonts w:ascii="Tahoma" w:hAnsi="Tahoma" w:cs="Tahoma"/>
        </w:rPr>
        <w:t>. In total</w:t>
      </w:r>
      <w:r w:rsidR="0019156C">
        <w:rPr>
          <w:rFonts w:ascii="Tahoma" w:hAnsi="Tahoma" w:cs="Tahoma"/>
        </w:rPr>
        <w:t>,</w:t>
      </w:r>
      <w:r w:rsidR="00B44F56">
        <w:rPr>
          <w:rFonts w:ascii="Tahoma" w:hAnsi="Tahoma" w:cs="Tahoma"/>
        </w:rPr>
        <w:t xml:space="preserve"> 1019 people responded</w:t>
      </w:r>
      <w:r w:rsidR="0019156C">
        <w:rPr>
          <w:rFonts w:ascii="Tahoma" w:hAnsi="Tahoma" w:cs="Tahoma"/>
        </w:rPr>
        <w:t>.</w:t>
      </w:r>
      <w:r w:rsidR="00B44F56">
        <w:rPr>
          <w:rFonts w:ascii="Tahoma" w:hAnsi="Tahoma" w:cs="Tahoma"/>
        </w:rPr>
        <w:t xml:space="preserve"> The link to the survey was sent by email to registrants a few days before it was publicised</w:t>
      </w:r>
      <w:r w:rsidR="00EA2165">
        <w:rPr>
          <w:rFonts w:ascii="Tahoma" w:hAnsi="Tahoma" w:cs="Tahoma"/>
        </w:rPr>
        <w:t xml:space="preserve"> by providers</w:t>
      </w:r>
      <w:r w:rsidR="00B44F56">
        <w:rPr>
          <w:rFonts w:ascii="Tahoma" w:hAnsi="Tahoma" w:cs="Tahoma"/>
        </w:rPr>
        <w:t xml:space="preserve"> and resulted in an initial surge of responses (approximately 800). Overall the response rate represents</w:t>
      </w:r>
      <w:r w:rsidR="0019156C">
        <w:rPr>
          <w:rFonts w:ascii="Tahoma" w:hAnsi="Tahoma" w:cs="Tahoma"/>
        </w:rPr>
        <w:t xml:space="preserve"> 2.9% of those directly emailed</w:t>
      </w:r>
      <w:r w:rsidR="00EA2165">
        <w:rPr>
          <w:rFonts w:ascii="Tahoma" w:hAnsi="Tahoma" w:cs="Tahoma"/>
        </w:rPr>
        <w:t>.</w:t>
      </w:r>
    </w:p>
    <w:p w14:paraId="182B98D2" w14:textId="21AF9439" w:rsidR="00305144" w:rsidRPr="00B44F56" w:rsidRDefault="00B44F56" w:rsidP="000C4926">
      <w:pPr>
        <w:rPr>
          <w:rFonts w:ascii="Tahoma" w:hAnsi="Tahoma" w:cs="Tahoma"/>
        </w:rPr>
      </w:pPr>
      <w:r>
        <w:rPr>
          <w:rFonts w:ascii="Tahoma" w:hAnsi="Tahoma" w:cs="Tahoma"/>
        </w:rPr>
        <w:t>T</w:t>
      </w:r>
      <w:r w:rsidR="001859C8">
        <w:rPr>
          <w:rFonts w:ascii="Tahoma" w:hAnsi="Tahoma" w:cs="Tahoma"/>
        </w:rPr>
        <w:t>he survey did not ask responden</w:t>
      </w:r>
      <w:r>
        <w:rPr>
          <w:rFonts w:ascii="Tahoma" w:hAnsi="Tahoma" w:cs="Tahoma"/>
        </w:rPr>
        <w:t>ts to identify who they work for and so</w:t>
      </w:r>
      <w:r w:rsidR="001859C8">
        <w:rPr>
          <w:rFonts w:ascii="Tahoma" w:hAnsi="Tahoma" w:cs="Tahoma"/>
        </w:rPr>
        <w:t xml:space="preserve"> it is not possible to say how many separate organisations were involved</w:t>
      </w:r>
      <w:r>
        <w:rPr>
          <w:rFonts w:ascii="Tahoma" w:hAnsi="Tahoma" w:cs="Tahoma"/>
        </w:rPr>
        <w:t xml:space="preserve">. </w:t>
      </w:r>
      <w:r w:rsidR="00BB0F8E">
        <w:rPr>
          <w:rFonts w:ascii="Tahoma" w:hAnsi="Tahoma" w:cs="Tahoma"/>
        </w:rPr>
        <w:t xml:space="preserve"> However, views from a mixture of job roles and work settings are represented in the responses.</w:t>
      </w:r>
    </w:p>
    <w:p w14:paraId="5B92676F" w14:textId="3AE73BC5" w:rsidR="008E0B21" w:rsidRPr="00FA5709" w:rsidRDefault="00FC4C38" w:rsidP="001E499E">
      <w:pPr>
        <w:pStyle w:val="NoSpacing"/>
        <w:rPr>
          <w:rFonts w:ascii="Tahoma" w:hAnsi="Tahoma" w:cs="Tahoma"/>
          <w:color w:val="FF0000"/>
        </w:rPr>
      </w:pPr>
      <w:r w:rsidRPr="00CE4659">
        <w:rPr>
          <w:rFonts w:ascii="Tahoma" w:hAnsi="Tahoma" w:cs="Tahoma"/>
        </w:rPr>
        <w:t>R</w:t>
      </w:r>
      <w:r w:rsidR="008E0B21" w:rsidRPr="00CE4659">
        <w:rPr>
          <w:rFonts w:ascii="Tahoma" w:hAnsi="Tahoma" w:cs="Tahoma"/>
        </w:rPr>
        <w:t xml:space="preserve">espondents were </w:t>
      </w:r>
      <w:r w:rsidR="00FA5709" w:rsidRPr="004D4EB2">
        <w:rPr>
          <w:rFonts w:ascii="Tahoma" w:hAnsi="Tahoma" w:cs="Tahoma"/>
        </w:rPr>
        <w:t>given the option</w:t>
      </w:r>
      <w:r w:rsidR="008E0B21" w:rsidRPr="004D4EB2">
        <w:rPr>
          <w:rFonts w:ascii="Tahoma" w:hAnsi="Tahoma" w:cs="Tahoma"/>
        </w:rPr>
        <w:t xml:space="preserve"> to </w:t>
      </w:r>
      <w:r w:rsidR="008E0B21" w:rsidRPr="00CE4659">
        <w:rPr>
          <w:rFonts w:ascii="Tahoma" w:hAnsi="Tahoma" w:cs="Tahoma"/>
        </w:rPr>
        <w:t>skip any question</w:t>
      </w:r>
      <w:r w:rsidR="007752A7" w:rsidRPr="00CE4659">
        <w:rPr>
          <w:rFonts w:ascii="Tahoma" w:hAnsi="Tahoma" w:cs="Tahoma"/>
        </w:rPr>
        <w:t>.</w:t>
      </w:r>
      <w:r w:rsidR="00D3277E">
        <w:rPr>
          <w:rFonts w:ascii="Tahoma" w:hAnsi="Tahoma" w:cs="Tahoma"/>
        </w:rPr>
        <w:t xml:space="preserve"> On average 94.2% of people answered the qualifier questions and 88.3% of people answered the main questions.</w:t>
      </w:r>
      <w:r w:rsidR="00FA5709">
        <w:rPr>
          <w:rFonts w:ascii="Tahoma" w:hAnsi="Tahoma" w:cs="Tahoma"/>
        </w:rPr>
        <w:t xml:space="preserve"> </w:t>
      </w:r>
    </w:p>
    <w:p w14:paraId="1A97018A" w14:textId="77777777" w:rsidR="00E3474E" w:rsidRDefault="00E3474E" w:rsidP="00CE4659">
      <w:pPr>
        <w:pStyle w:val="NoSpacing"/>
        <w:ind w:left="360"/>
        <w:rPr>
          <w:rFonts w:ascii="Tahoma" w:hAnsi="Tahoma" w:cs="Tahoma"/>
        </w:rPr>
      </w:pPr>
    </w:p>
    <w:p w14:paraId="2E22DA69" w14:textId="77777777" w:rsidR="008A4FCD" w:rsidRDefault="008A4FCD" w:rsidP="001E499E">
      <w:pPr>
        <w:pStyle w:val="NoSpacing"/>
        <w:rPr>
          <w:rFonts w:ascii="Tahoma" w:hAnsi="Tahoma" w:cs="Tahoma"/>
        </w:rPr>
      </w:pPr>
      <w:r>
        <w:rPr>
          <w:rFonts w:ascii="Tahoma" w:hAnsi="Tahoma" w:cs="Tahoma"/>
        </w:rPr>
        <w:t>Slightly more responses were received from the independent (56.1%) compared with the voluntary sector (40.8%). A small number (3.1%) classified themselves as ‘other’ sector.</w:t>
      </w:r>
    </w:p>
    <w:p w14:paraId="0A21A85E" w14:textId="77777777" w:rsidR="008A4FCD" w:rsidRDefault="008A4FCD" w:rsidP="00CE4659">
      <w:pPr>
        <w:pStyle w:val="NoSpacing"/>
        <w:ind w:left="360"/>
        <w:rPr>
          <w:rFonts w:ascii="Tahoma" w:hAnsi="Tahoma" w:cs="Tahoma"/>
        </w:rPr>
      </w:pPr>
    </w:p>
    <w:p w14:paraId="4844D6CB" w14:textId="7DE1ACED" w:rsidR="008A4FCD" w:rsidRDefault="00997396" w:rsidP="000C4926">
      <w:pPr>
        <w:pStyle w:val="NoSpacing"/>
        <w:rPr>
          <w:rFonts w:ascii="Tahoma" w:hAnsi="Tahoma" w:cs="Tahoma"/>
        </w:rPr>
      </w:pPr>
      <w:r>
        <w:rPr>
          <w:rFonts w:ascii="Tahoma" w:hAnsi="Tahoma" w:cs="Tahoma"/>
        </w:rPr>
        <w:t>The table below shows the spread of registration status and the relatively small number of unregistered workers who responded.</w:t>
      </w:r>
      <w:r w:rsidR="0019156C">
        <w:rPr>
          <w:rFonts w:ascii="Tahoma" w:hAnsi="Tahoma" w:cs="Tahoma"/>
        </w:rPr>
        <w:t xml:space="preserve"> (X a</w:t>
      </w:r>
      <w:r w:rsidR="00182812">
        <w:rPr>
          <w:rFonts w:ascii="Tahoma" w:hAnsi="Tahoma" w:cs="Tahoma"/>
        </w:rPr>
        <w:t>xis = number of respondents)</w:t>
      </w:r>
    </w:p>
    <w:p w14:paraId="13F10FE0" w14:textId="77777777" w:rsidR="00E3474E" w:rsidRDefault="00E3474E" w:rsidP="00CE4659">
      <w:pPr>
        <w:pStyle w:val="NoSpacing"/>
        <w:ind w:left="360"/>
        <w:rPr>
          <w:rFonts w:ascii="Tahoma" w:hAnsi="Tahoma" w:cs="Tahoma"/>
        </w:rPr>
      </w:pPr>
    </w:p>
    <w:p w14:paraId="21FACDF5" w14:textId="77777777" w:rsidR="00E3474E" w:rsidRDefault="00E3474E" w:rsidP="00CE4659">
      <w:pPr>
        <w:pStyle w:val="NoSpacing"/>
        <w:ind w:left="360"/>
        <w:rPr>
          <w:rFonts w:ascii="Tahoma" w:hAnsi="Tahoma" w:cs="Tahoma"/>
        </w:rPr>
      </w:pPr>
      <w:r w:rsidRPr="000D1BA2">
        <w:rPr>
          <w:rFonts w:ascii="Tahoma" w:hAnsi="Tahoma" w:cs="Tahoma"/>
          <w:noProof/>
          <w:lang w:eastAsia="en-GB"/>
        </w:rPr>
        <w:drawing>
          <wp:inline distT="0" distB="0" distL="0" distR="0" wp14:anchorId="377A79BE" wp14:editId="68EA2BA5">
            <wp:extent cx="5731510" cy="2426970"/>
            <wp:effectExtent l="0" t="0" r="254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DBBF1B8" w14:textId="77777777" w:rsidR="00997396" w:rsidRDefault="00997396" w:rsidP="00CE4659">
      <w:pPr>
        <w:pStyle w:val="NoSpacing"/>
        <w:ind w:left="360"/>
        <w:rPr>
          <w:rFonts w:ascii="Tahoma" w:hAnsi="Tahoma" w:cs="Tahoma"/>
        </w:rPr>
      </w:pPr>
    </w:p>
    <w:p w14:paraId="1E34DEC9" w14:textId="77777777" w:rsidR="00997396" w:rsidRDefault="007B24D1" w:rsidP="00182812">
      <w:pPr>
        <w:pStyle w:val="NoSpacing"/>
        <w:rPr>
          <w:rFonts w:ascii="Tahoma" w:hAnsi="Tahoma" w:cs="Tahoma"/>
        </w:rPr>
      </w:pPr>
      <w:r>
        <w:rPr>
          <w:rFonts w:ascii="Tahoma" w:hAnsi="Tahoma" w:cs="Tahoma"/>
        </w:rPr>
        <w:t>The</w:t>
      </w:r>
      <w:r w:rsidR="00997396">
        <w:rPr>
          <w:rFonts w:ascii="Tahoma" w:hAnsi="Tahoma" w:cs="Tahoma"/>
        </w:rPr>
        <w:t xml:space="preserve"> pred</w:t>
      </w:r>
      <w:r w:rsidR="00FA2E5E">
        <w:rPr>
          <w:rFonts w:ascii="Tahoma" w:hAnsi="Tahoma" w:cs="Tahoma"/>
        </w:rPr>
        <w:t>ominant response from registered, as opposed to unregistered workers,</w:t>
      </w:r>
      <w:r w:rsidR="00997396">
        <w:rPr>
          <w:rFonts w:ascii="Tahoma" w:hAnsi="Tahoma" w:cs="Tahoma"/>
        </w:rPr>
        <w:t xml:space="preserve"> has the effect of disproportionately representing certain categories of workers relative to </w:t>
      </w:r>
      <w:r w:rsidR="00C06119">
        <w:rPr>
          <w:rFonts w:ascii="Tahoma" w:hAnsi="Tahoma" w:cs="Tahoma"/>
        </w:rPr>
        <w:t>proportion</w:t>
      </w:r>
      <w:r w:rsidR="00997396">
        <w:rPr>
          <w:rFonts w:ascii="Tahoma" w:hAnsi="Tahoma" w:cs="Tahoma"/>
        </w:rPr>
        <w:t xml:space="preserve"> of </w:t>
      </w:r>
      <w:r w:rsidR="00CE1AED">
        <w:rPr>
          <w:rFonts w:ascii="Tahoma" w:hAnsi="Tahoma" w:cs="Tahoma"/>
        </w:rPr>
        <w:t>that</w:t>
      </w:r>
      <w:r w:rsidR="00D71B3D">
        <w:rPr>
          <w:rFonts w:ascii="Tahoma" w:hAnsi="Tahoma" w:cs="Tahoma"/>
        </w:rPr>
        <w:t xml:space="preserve"> type of service</w:t>
      </w:r>
      <w:r w:rsidR="00FA2E5E">
        <w:rPr>
          <w:rFonts w:ascii="Tahoma" w:hAnsi="Tahoma" w:cs="Tahoma"/>
        </w:rPr>
        <w:t xml:space="preserve"> in the sector that they work in.</w:t>
      </w:r>
      <w:r w:rsidR="00997396">
        <w:rPr>
          <w:rFonts w:ascii="Tahoma" w:hAnsi="Tahoma" w:cs="Tahoma"/>
        </w:rPr>
        <w:t xml:space="preserve"> For example</w:t>
      </w:r>
      <w:r w:rsidR="00FA2E5E">
        <w:rPr>
          <w:rFonts w:ascii="Tahoma" w:hAnsi="Tahoma" w:cs="Tahoma"/>
        </w:rPr>
        <w:t xml:space="preserve">, </w:t>
      </w:r>
      <w:r w:rsidR="00E3474E">
        <w:rPr>
          <w:rFonts w:ascii="Tahoma" w:hAnsi="Tahoma" w:cs="Tahoma"/>
        </w:rPr>
        <w:t xml:space="preserve">the independent has only a small </w:t>
      </w:r>
      <w:r w:rsidR="00890D62">
        <w:rPr>
          <w:rFonts w:ascii="Tahoma" w:hAnsi="Tahoma" w:cs="Tahoma"/>
        </w:rPr>
        <w:t>number of children’s services, but in terms of survey response</w:t>
      </w:r>
      <w:r w:rsidR="00CE1AED">
        <w:rPr>
          <w:rFonts w:ascii="Tahoma" w:hAnsi="Tahoma" w:cs="Tahoma"/>
        </w:rPr>
        <w:t>,</w:t>
      </w:r>
      <w:r w:rsidR="00890D62">
        <w:rPr>
          <w:rFonts w:ascii="Tahoma" w:hAnsi="Tahoma" w:cs="Tahoma"/>
        </w:rPr>
        <w:t xml:space="preserve"> this </w:t>
      </w:r>
      <w:r w:rsidR="00CE1AED">
        <w:rPr>
          <w:rFonts w:ascii="Tahoma" w:hAnsi="Tahoma" w:cs="Tahoma"/>
        </w:rPr>
        <w:t>category had the second largest number of respondents in the survey.</w:t>
      </w:r>
      <w:r w:rsidR="00FA2E5E">
        <w:rPr>
          <w:rFonts w:ascii="Tahoma" w:hAnsi="Tahoma" w:cs="Tahoma"/>
        </w:rPr>
        <w:t xml:space="preserve"> Similarly, there </w:t>
      </w:r>
      <w:proofErr w:type="gramStart"/>
      <w:r w:rsidR="00FA2E5E">
        <w:rPr>
          <w:rFonts w:ascii="Tahoma" w:hAnsi="Tahoma" w:cs="Tahoma"/>
        </w:rPr>
        <w:t>is</w:t>
      </w:r>
      <w:proofErr w:type="gramEnd"/>
      <w:r w:rsidR="00FA2E5E">
        <w:rPr>
          <w:rFonts w:ascii="Tahoma" w:hAnsi="Tahoma" w:cs="Tahoma"/>
        </w:rPr>
        <w:t xml:space="preserve"> a disproportionately small number of respondents in the voluntary sector</w:t>
      </w:r>
      <w:r w:rsidR="00CE1AED">
        <w:rPr>
          <w:rFonts w:ascii="Tahoma" w:hAnsi="Tahoma" w:cs="Tahoma"/>
        </w:rPr>
        <w:t xml:space="preserve"> from </w:t>
      </w:r>
      <w:r w:rsidR="00FA2E5E">
        <w:rPr>
          <w:rFonts w:ascii="Tahoma" w:hAnsi="Tahoma" w:cs="Tahoma"/>
        </w:rPr>
        <w:t>care at home and housing support relative to the size of provision in this sector.</w:t>
      </w:r>
    </w:p>
    <w:p w14:paraId="6D538EAC" w14:textId="77777777" w:rsidR="00CE1AED" w:rsidRDefault="00CE1AED" w:rsidP="00CE4659">
      <w:pPr>
        <w:pStyle w:val="NoSpacing"/>
        <w:ind w:left="360"/>
        <w:rPr>
          <w:rFonts w:ascii="Tahoma" w:hAnsi="Tahoma" w:cs="Tahoma"/>
        </w:rPr>
      </w:pPr>
    </w:p>
    <w:p w14:paraId="39954B87" w14:textId="77777777" w:rsidR="007B24D1" w:rsidRDefault="00CE1AED" w:rsidP="00182812">
      <w:pPr>
        <w:pStyle w:val="NoSpacing"/>
        <w:rPr>
          <w:rFonts w:ascii="Tahoma" w:hAnsi="Tahoma" w:cs="Tahoma"/>
        </w:rPr>
      </w:pPr>
      <w:r>
        <w:rPr>
          <w:rFonts w:ascii="Tahoma" w:hAnsi="Tahoma" w:cs="Tahoma"/>
        </w:rPr>
        <w:t xml:space="preserve">It is not possible to say if the results would have been different if a greater percentage of the responses had been from unregistered workers. It could be postulated that the registered workforce should </w:t>
      </w:r>
      <w:r w:rsidR="000E07BB">
        <w:rPr>
          <w:rFonts w:ascii="Tahoma" w:hAnsi="Tahoma" w:cs="Tahoma"/>
        </w:rPr>
        <w:t>be a more engaged workforce than</w:t>
      </w:r>
      <w:r>
        <w:rPr>
          <w:rFonts w:ascii="Tahoma" w:hAnsi="Tahoma" w:cs="Tahoma"/>
        </w:rPr>
        <w:t xml:space="preserve"> those who have not had to register because of the continuous professional development requirements of registration.</w:t>
      </w:r>
    </w:p>
    <w:p w14:paraId="2F7F5B60" w14:textId="77777777" w:rsidR="007B24D1" w:rsidRDefault="007B24D1" w:rsidP="007B24D1">
      <w:pPr>
        <w:pStyle w:val="NoSpacing"/>
        <w:ind w:left="360"/>
        <w:rPr>
          <w:rFonts w:ascii="Tahoma" w:hAnsi="Tahoma" w:cs="Tahoma"/>
        </w:rPr>
      </w:pPr>
    </w:p>
    <w:p w14:paraId="79AB11B5" w14:textId="2DDE4056" w:rsidR="00036C7F" w:rsidRDefault="007B24D1" w:rsidP="00182812">
      <w:pPr>
        <w:pStyle w:val="NoSpacing"/>
        <w:rPr>
          <w:rFonts w:ascii="Tahoma" w:hAnsi="Tahoma" w:cs="Tahoma"/>
        </w:rPr>
      </w:pPr>
      <w:r>
        <w:rPr>
          <w:rFonts w:ascii="Tahoma" w:hAnsi="Tahoma" w:cs="Tahoma"/>
        </w:rPr>
        <w:t xml:space="preserve">There was a balanced spread of responses between managerial and non-managerial posts as </w:t>
      </w:r>
      <w:r w:rsidR="000C4926">
        <w:rPr>
          <w:rFonts w:ascii="Tahoma" w:hAnsi="Tahoma" w:cs="Tahoma"/>
        </w:rPr>
        <w:t>illustrated in the table below:</w:t>
      </w:r>
    </w:p>
    <w:p w14:paraId="3FB048EB" w14:textId="77777777" w:rsidR="00182812" w:rsidRPr="007B24D1" w:rsidRDefault="00182812" w:rsidP="00182812">
      <w:pPr>
        <w:pStyle w:val="NoSpacing"/>
        <w:rPr>
          <w:rFonts w:ascii="Tahoma" w:hAnsi="Tahoma" w:cs="Tahoma"/>
        </w:rPr>
      </w:pPr>
    </w:p>
    <w:p w14:paraId="32D342AF" w14:textId="3DB5D60E" w:rsidR="00036C7F" w:rsidRDefault="00BD626D" w:rsidP="00182812">
      <w:pPr>
        <w:pStyle w:val="ListParagraph"/>
        <w:ind w:left="0"/>
        <w:rPr>
          <w:rFonts w:ascii="Tahoma" w:hAnsi="Tahoma" w:cs="Tahoma"/>
        </w:rPr>
      </w:pPr>
      <w:r w:rsidRPr="000D1BA2">
        <w:rPr>
          <w:rFonts w:ascii="Tahoma" w:hAnsi="Tahoma" w:cs="Tahoma"/>
          <w:noProof/>
          <w:lang w:eastAsia="en-GB"/>
        </w:rPr>
        <w:drawing>
          <wp:inline distT="0" distB="0" distL="0" distR="0" wp14:anchorId="5E72E897" wp14:editId="7D037B36">
            <wp:extent cx="5615940" cy="2369820"/>
            <wp:effectExtent l="0" t="0" r="381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3E1A1F1" w14:textId="77777777" w:rsidR="00182812" w:rsidRPr="00182812" w:rsidRDefault="00182812" w:rsidP="00182812">
      <w:pPr>
        <w:pStyle w:val="ListParagraph"/>
        <w:ind w:left="0"/>
        <w:rPr>
          <w:rFonts w:ascii="Tahoma" w:hAnsi="Tahoma" w:cs="Tahoma"/>
        </w:rPr>
      </w:pPr>
    </w:p>
    <w:p w14:paraId="561BD91B" w14:textId="77777777" w:rsidR="001568F7" w:rsidRDefault="007B24D1" w:rsidP="001568F7">
      <w:pPr>
        <w:pStyle w:val="ListParagraph"/>
        <w:ind w:left="0"/>
        <w:rPr>
          <w:rFonts w:ascii="Tahoma" w:hAnsi="Tahoma" w:cs="Tahoma"/>
          <w:noProof/>
          <w:lang w:eastAsia="en-GB"/>
        </w:rPr>
      </w:pPr>
      <w:r>
        <w:rPr>
          <w:rFonts w:ascii="Tahoma" w:hAnsi="Tahoma" w:cs="Tahoma"/>
        </w:rPr>
        <w:t>Most local authority areas were represented in the responses, but the number of responses does not necessarily reflect the size of the populations and</w:t>
      </w:r>
      <w:r w:rsidR="000E07BB">
        <w:rPr>
          <w:rFonts w:ascii="Tahoma" w:hAnsi="Tahoma" w:cs="Tahoma"/>
        </w:rPr>
        <w:t>,</w:t>
      </w:r>
      <w:r>
        <w:rPr>
          <w:rFonts w:ascii="Tahoma" w:hAnsi="Tahoma" w:cs="Tahoma"/>
        </w:rPr>
        <w:t xml:space="preserve"> therefore</w:t>
      </w:r>
      <w:r w:rsidR="000E07BB">
        <w:rPr>
          <w:rFonts w:ascii="Tahoma" w:hAnsi="Tahoma" w:cs="Tahoma"/>
        </w:rPr>
        <w:t>,</w:t>
      </w:r>
      <w:r>
        <w:rPr>
          <w:rFonts w:ascii="Tahoma" w:hAnsi="Tahoma" w:cs="Tahoma"/>
        </w:rPr>
        <w:t xml:space="preserve"> the number of support providers in these locations.</w:t>
      </w:r>
      <w:r w:rsidR="001568F7" w:rsidRPr="001568F7">
        <w:rPr>
          <w:rFonts w:ascii="Tahoma" w:hAnsi="Tahoma" w:cs="Tahoma"/>
          <w:noProof/>
          <w:lang w:eastAsia="en-GB"/>
        </w:rPr>
        <w:t xml:space="preserve"> </w:t>
      </w:r>
    </w:p>
    <w:p w14:paraId="0564B7E1" w14:textId="77777777" w:rsidR="001568F7" w:rsidRDefault="001568F7" w:rsidP="001568F7">
      <w:pPr>
        <w:pStyle w:val="ListParagraph"/>
        <w:ind w:left="0"/>
        <w:rPr>
          <w:rFonts w:ascii="Tahoma" w:hAnsi="Tahoma" w:cs="Tahoma"/>
          <w:noProof/>
          <w:lang w:eastAsia="en-GB"/>
        </w:rPr>
      </w:pPr>
    </w:p>
    <w:p w14:paraId="03EEE8C4" w14:textId="77777777" w:rsidR="001568F7" w:rsidRDefault="001568F7" w:rsidP="001568F7">
      <w:pPr>
        <w:pStyle w:val="ListParagraph"/>
        <w:ind w:left="0"/>
        <w:rPr>
          <w:rFonts w:ascii="Tahoma" w:hAnsi="Tahoma" w:cs="Tahoma"/>
          <w:noProof/>
          <w:lang w:eastAsia="en-GB"/>
        </w:rPr>
      </w:pPr>
    </w:p>
    <w:p w14:paraId="7F645940" w14:textId="77777777" w:rsidR="00F53BC2" w:rsidRDefault="001568F7" w:rsidP="001568F7">
      <w:pPr>
        <w:pStyle w:val="ListParagraph"/>
        <w:ind w:left="0"/>
        <w:rPr>
          <w:rFonts w:ascii="Tahoma" w:hAnsi="Tahoma" w:cs="Tahoma"/>
        </w:rPr>
      </w:pPr>
      <w:r w:rsidRPr="000D1BA2">
        <w:rPr>
          <w:rFonts w:ascii="Tahoma" w:hAnsi="Tahoma" w:cs="Tahoma"/>
          <w:noProof/>
          <w:lang w:eastAsia="en-GB"/>
        </w:rPr>
        <w:drawing>
          <wp:inline distT="0" distB="0" distL="0" distR="0" wp14:anchorId="54DFC7B5" wp14:editId="57903E49">
            <wp:extent cx="6187440" cy="2766060"/>
            <wp:effectExtent l="0" t="0" r="3810"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70CBBDC" w14:textId="77777777" w:rsidR="00036C7F" w:rsidRPr="003C59EB" w:rsidRDefault="00036C7F" w:rsidP="007B24D1">
      <w:pPr>
        <w:spacing w:after="0" w:line="240" w:lineRule="auto"/>
        <w:rPr>
          <w:rFonts w:ascii="Tahoma" w:hAnsi="Tahoma" w:cs="Tahoma"/>
        </w:rPr>
      </w:pPr>
    </w:p>
    <w:p w14:paraId="47C0F957" w14:textId="77777777" w:rsidR="007B24D1" w:rsidRDefault="007B24D1" w:rsidP="007B24D1">
      <w:pPr>
        <w:spacing w:after="0" w:line="240" w:lineRule="auto"/>
        <w:rPr>
          <w:rFonts w:ascii="Tahoma" w:hAnsi="Tahoma" w:cs="Tahoma"/>
          <w:b/>
        </w:rPr>
      </w:pPr>
      <w:r>
        <w:rPr>
          <w:rFonts w:ascii="Tahoma" w:hAnsi="Tahoma" w:cs="Tahoma"/>
          <w:b/>
        </w:rPr>
        <w:t>Main Question Results</w:t>
      </w:r>
    </w:p>
    <w:p w14:paraId="512A59A5" w14:textId="77777777" w:rsidR="007B24D1" w:rsidRDefault="007B24D1" w:rsidP="007B24D1">
      <w:pPr>
        <w:spacing w:after="0" w:line="240" w:lineRule="auto"/>
        <w:rPr>
          <w:rFonts w:ascii="Tahoma" w:hAnsi="Tahoma" w:cs="Tahoma"/>
          <w:b/>
        </w:rPr>
      </w:pPr>
    </w:p>
    <w:p w14:paraId="4EC9D7AC" w14:textId="105FBA8C" w:rsidR="000D2622" w:rsidRDefault="002B3A86" w:rsidP="00381937">
      <w:pPr>
        <w:spacing w:after="0" w:line="240" w:lineRule="auto"/>
        <w:rPr>
          <w:rFonts w:ascii="Tahoma" w:hAnsi="Tahoma" w:cs="Tahoma"/>
        </w:rPr>
      </w:pPr>
      <w:r>
        <w:rPr>
          <w:rFonts w:ascii="Tahoma" w:hAnsi="Tahoma" w:cs="Tahoma"/>
        </w:rPr>
        <w:t>The responses from</w:t>
      </w:r>
      <w:r w:rsidR="00381937">
        <w:rPr>
          <w:rFonts w:ascii="Tahoma" w:hAnsi="Tahoma" w:cs="Tahoma"/>
        </w:rPr>
        <w:t xml:space="preserve"> the independent and voluntary sectors were broadly similar in respect of the four main questions.  However</w:t>
      </w:r>
      <w:r w:rsidR="00D71B3D">
        <w:rPr>
          <w:rFonts w:ascii="Tahoma" w:hAnsi="Tahoma" w:cs="Tahoma"/>
        </w:rPr>
        <w:t>,</w:t>
      </w:r>
      <w:r w:rsidR="000E07BB">
        <w:rPr>
          <w:rFonts w:ascii="Tahoma" w:hAnsi="Tahoma" w:cs="Tahoma"/>
        </w:rPr>
        <w:t xml:space="preserve"> whilst it was not a specific objective to compare results between the sectors, </w:t>
      </w:r>
      <w:r w:rsidR="00381937">
        <w:rPr>
          <w:rFonts w:ascii="Tahoma" w:hAnsi="Tahoma" w:cs="Tahoma"/>
        </w:rPr>
        <w:t>it may be helpful for those working to develop the workforce in the respective sectors to see the results pertaining only to their sector. The graphs for each are, therefore</w:t>
      </w:r>
      <w:r>
        <w:rPr>
          <w:rFonts w:ascii="Tahoma" w:hAnsi="Tahoma" w:cs="Tahoma"/>
        </w:rPr>
        <w:t>,</w:t>
      </w:r>
      <w:r w:rsidR="00381937">
        <w:rPr>
          <w:rFonts w:ascii="Tahoma" w:hAnsi="Tahoma" w:cs="Tahoma"/>
        </w:rPr>
        <w:t xml:space="preserve"> shown side by side.</w:t>
      </w:r>
    </w:p>
    <w:p w14:paraId="3063BD1F" w14:textId="77777777" w:rsidR="00381937" w:rsidRDefault="00381937" w:rsidP="00381937">
      <w:pPr>
        <w:spacing w:after="0" w:line="240" w:lineRule="auto"/>
        <w:rPr>
          <w:rFonts w:ascii="Tahoma" w:hAnsi="Tahoma" w:cs="Tahoma"/>
        </w:rPr>
      </w:pPr>
    </w:p>
    <w:p w14:paraId="7D5B2DB8" w14:textId="77777777" w:rsidR="00381937" w:rsidRDefault="00381937" w:rsidP="00381937">
      <w:pPr>
        <w:spacing w:after="0" w:line="240" w:lineRule="auto"/>
        <w:rPr>
          <w:rFonts w:ascii="Tahoma" w:hAnsi="Tahoma" w:cs="Tahoma"/>
        </w:rPr>
      </w:pPr>
      <w:r>
        <w:rPr>
          <w:rFonts w:ascii="Tahoma" w:hAnsi="Tahoma" w:cs="Tahoma"/>
          <w:b/>
        </w:rPr>
        <w:t xml:space="preserve">Q1 - </w:t>
      </w:r>
      <w:r w:rsidRPr="000D1BA2">
        <w:rPr>
          <w:rFonts w:ascii="Tahoma" w:hAnsi="Tahoma" w:cs="Tahoma"/>
          <w:b/>
        </w:rPr>
        <w:t>‘</w:t>
      </w:r>
      <w:r w:rsidRPr="000D1BA2">
        <w:rPr>
          <w:rFonts w:ascii="Tahoma" w:hAnsi="Tahoma" w:cs="Tahoma"/>
          <w:b/>
          <w:lang w:val="en"/>
        </w:rPr>
        <w:t>To what extent are you involved in how your service/organisation makes decisions about how it is run?</w:t>
      </w:r>
      <w:r w:rsidRPr="000D1BA2">
        <w:rPr>
          <w:rFonts w:ascii="Tahoma" w:hAnsi="Tahoma" w:cs="Tahoma"/>
          <w:b/>
        </w:rPr>
        <w:t>’</w:t>
      </w:r>
    </w:p>
    <w:p w14:paraId="2DF5D56B" w14:textId="77777777" w:rsidR="00381937" w:rsidRDefault="00381937" w:rsidP="00381937">
      <w:pPr>
        <w:spacing w:after="0" w:line="240" w:lineRule="auto"/>
        <w:rPr>
          <w:rFonts w:ascii="Tahoma" w:hAnsi="Tahoma" w:cs="Tahoma"/>
        </w:rPr>
      </w:pPr>
      <w:r w:rsidRPr="000D1BA2">
        <w:rPr>
          <w:rFonts w:ascii="Tahoma" w:hAnsi="Tahoma" w:cs="Tahoma"/>
          <w:noProof/>
          <w:lang w:eastAsia="en-GB"/>
        </w:rPr>
        <w:drawing>
          <wp:anchor distT="0" distB="0" distL="114300" distR="114300" simplePos="0" relativeHeight="251665408" behindDoc="1" locked="0" layoutInCell="1" allowOverlap="1" wp14:anchorId="3DB2A50F" wp14:editId="055413C9">
            <wp:simplePos x="0" y="0"/>
            <wp:positionH relativeFrom="column">
              <wp:posOffset>3055620</wp:posOffset>
            </wp:positionH>
            <wp:positionV relativeFrom="paragraph">
              <wp:posOffset>219075</wp:posOffset>
            </wp:positionV>
            <wp:extent cx="2872740" cy="2545080"/>
            <wp:effectExtent l="0" t="0" r="3810" b="7620"/>
            <wp:wrapTight wrapText="bothSides">
              <wp:wrapPolygon edited="0">
                <wp:start x="0" y="0"/>
                <wp:lineTo x="0" y="21503"/>
                <wp:lineTo x="21485" y="21503"/>
                <wp:lineTo x="21485" y="0"/>
                <wp:lineTo x="0" y="0"/>
              </wp:wrapPolygon>
            </wp:wrapTight>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0D1BA2">
        <w:rPr>
          <w:rFonts w:ascii="Tahoma" w:hAnsi="Tahoma" w:cs="Tahoma"/>
          <w:noProof/>
          <w:lang w:eastAsia="en-GB"/>
        </w:rPr>
        <w:drawing>
          <wp:anchor distT="0" distB="0" distL="114300" distR="114300" simplePos="0" relativeHeight="251664384" behindDoc="1" locked="0" layoutInCell="1" allowOverlap="1" wp14:anchorId="1CCED106" wp14:editId="45359471">
            <wp:simplePos x="0" y="0"/>
            <wp:positionH relativeFrom="column">
              <wp:posOffset>68580</wp:posOffset>
            </wp:positionH>
            <wp:positionV relativeFrom="paragraph">
              <wp:posOffset>219075</wp:posOffset>
            </wp:positionV>
            <wp:extent cx="2880360" cy="2545080"/>
            <wp:effectExtent l="0" t="0" r="15240" b="7620"/>
            <wp:wrapTight wrapText="bothSides">
              <wp:wrapPolygon edited="0">
                <wp:start x="0" y="0"/>
                <wp:lineTo x="0" y="21503"/>
                <wp:lineTo x="21571" y="21503"/>
                <wp:lineTo x="21571" y="0"/>
                <wp:lineTo x="0" y="0"/>
              </wp:wrapPolygon>
            </wp:wrapTight>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4B09412A" w14:textId="77777777" w:rsidR="00381937" w:rsidRDefault="00381937" w:rsidP="00381937">
      <w:pPr>
        <w:spacing w:after="0" w:line="240" w:lineRule="auto"/>
        <w:rPr>
          <w:rFonts w:ascii="Tahoma" w:hAnsi="Tahoma" w:cs="Tahoma"/>
        </w:rPr>
      </w:pPr>
    </w:p>
    <w:p w14:paraId="3D15B330" w14:textId="610ADD77" w:rsidR="00AD49E7" w:rsidRDefault="005F4D61" w:rsidP="00381937">
      <w:pPr>
        <w:spacing w:after="0" w:line="240" w:lineRule="auto"/>
        <w:rPr>
          <w:rFonts w:ascii="Tahoma" w:hAnsi="Tahoma" w:cs="Tahoma"/>
        </w:rPr>
      </w:pPr>
      <w:r>
        <w:rPr>
          <w:rFonts w:ascii="Tahoma" w:hAnsi="Tahoma" w:cs="Tahoma"/>
        </w:rPr>
        <w:t>Some groups of workers responded more positively about being involved than others.  In both sectors</w:t>
      </w:r>
      <w:r w:rsidR="00C06119">
        <w:rPr>
          <w:rFonts w:ascii="Tahoma" w:hAnsi="Tahoma" w:cs="Tahoma"/>
        </w:rPr>
        <w:t>,</w:t>
      </w:r>
      <w:r>
        <w:rPr>
          <w:rFonts w:ascii="Tahoma" w:hAnsi="Tahoma" w:cs="Tahoma"/>
        </w:rPr>
        <w:t xml:space="preserve"> care at ho</w:t>
      </w:r>
      <w:r w:rsidR="00D71B3D">
        <w:rPr>
          <w:rFonts w:ascii="Tahoma" w:hAnsi="Tahoma" w:cs="Tahoma"/>
        </w:rPr>
        <w:t xml:space="preserve">me and housing support staff responded more positively </w:t>
      </w:r>
      <w:r w:rsidR="002B3A86">
        <w:rPr>
          <w:rFonts w:ascii="Tahoma" w:hAnsi="Tahoma" w:cs="Tahoma"/>
        </w:rPr>
        <w:t xml:space="preserve">to the question </w:t>
      </w:r>
      <w:r w:rsidR="00D71B3D">
        <w:rPr>
          <w:rFonts w:ascii="Tahoma" w:hAnsi="Tahoma" w:cs="Tahoma"/>
        </w:rPr>
        <w:t>about being involved and those in adult resid</w:t>
      </w:r>
      <w:r w:rsidR="003C59EB">
        <w:rPr>
          <w:rFonts w:ascii="Tahoma" w:hAnsi="Tahoma" w:cs="Tahoma"/>
        </w:rPr>
        <w:t xml:space="preserve">ential care generally less so. </w:t>
      </w:r>
      <w:r w:rsidR="00D71B3D">
        <w:rPr>
          <w:rFonts w:ascii="Tahoma" w:hAnsi="Tahoma" w:cs="Tahoma"/>
        </w:rPr>
        <w:t>For other categories of worker there was less consistency of opinion between the sectors.</w:t>
      </w:r>
    </w:p>
    <w:p w14:paraId="0488047E" w14:textId="77777777" w:rsidR="00DE02EC" w:rsidRDefault="00DE02EC" w:rsidP="00381937">
      <w:pPr>
        <w:spacing w:after="0" w:line="240" w:lineRule="auto"/>
        <w:rPr>
          <w:rFonts w:ascii="Tahoma" w:hAnsi="Tahoma" w:cs="Tahoma"/>
        </w:rPr>
      </w:pPr>
    </w:p>
    <w:p w14:paraId="6C681D51" w14:textId="21B65AFD" w:rsidR="00381C31" w:rsidRDefault="003C59EB" w:rsidP="00D82687">
      <w:pPr>
        <w:spacing w:after="0" w:line="240" w:lineRule="auto"/>
        <w:rPr>
          <w:rFonts w:ascii="Tahoma" w:hAnsi="Tahoma" w:cs="Tahoma"/>
        </w:rPr>
      </w:pPr>
      <w:r>
        <w:rPr>
          <w:rFonts w:ascii="Tahoma" w:hAnsi="Tahoma" w:cs="Tahoma"/>
        </w:rPr>
        <w:t>In the</w:t>
      </w:r>
      <w:r w:rsidR="00DE02EC">
        <w:rPr>
          <w:rFonts w:ascii="Tahoma" w:hAnsi="Tahoma" w:cs="Tahoma"/>
        </w:rPr>
        <w:t xml:space="preserve"> section on involvement</w:t>
      </w:r>
      <w:r w:rsidR="00090A72">
        <w:rPr>
          <w:rFonts w:ascii="Tahoma" w:hAnsi="Tahoma" w:cs="Tahoma"/>
        </w:rPr>
        <w:t>,</w:t>
      </w:r>
      <w:r w:rsidR="00DE02EC">
        <w:rPr>
          <w:rFonts w:ascii="Tahoma" w:hAnsi="Tahoma" w:cs="Tahoma"/>
        </w:rPr>
        <w:t xml:space="preserve"> two themes emerged quite strongly</w:t>
      </w:r>
      <w:r w:rsidR="005D1C7A">
        <w:rPr>
          <w:rFonts w:ascii="Tahoma" w:hAnsi="Tahoma" w:cs="Tahoma"/>
        </w:rPr>
        <w:t xml:space="preserve"> in </w:t>
      </w:r>
      <w:r>
        <w:rPr>
          <w:rFonts w:ascii="Tahoma" w:hAnsi="Tahoma" w:cs="Tahoma"/>
        </w:rPr>
        <w:t>comments made by people in both sectors</w:t>
      </w:r>
      <w:r w:rsidR="00DE02EC">
        <w:rPr>
          <w:rFonts w:ascii="Tahoma" w:hAnsi="Tahoma" w:cs="Tahoma"/>
        </w:rPr>
        <w:t>. Managers and su</w:t>
      </w:r>
      <w:r w:rsidR="00554431">
        <w:rPr>
          <w:rFonts w:ascii="Tahoma" w:hAnsi="Tahoma" w:cs="Tahoma"/>
        </w:rPr>
        <w:t xml:space="preserve">pervisors spoke of numerous </w:t>
      </w:r>
      <w:r w:rsidR="00DE02EC">
        <w:rPr>
          <w:rFonts w:ascii="Tahoma" w:hAnsi="Tahoma" w:cs="Tahoma"/>
        </w:rPr>
        <w:t>means</w:t>
      </w:r>
      <w:r w:rsidR="00904EAB">
        <w:rPr>
          <w:rFonts w:ascii="Tahoma" w:hAnsi="Tahoma" w:cs="Tahoma"/>
        </w:rPr>
        <w:t xml:space="preserve"> and mechanisms for involvement.</w:t>
      </w:r>
      <w:r w:rsidR="00DE3939">
        <w:rPr>
          <w:rFonts w:ascii="Tahoma" w:hAnsi="Tahoma" w:cs="Tahoma"/>
        </w:rPr>
        <w:t xml:space="preserve"> This is consistent with findings in the recently completed Voluntary and Independent Sector </w:t>
      </w:r>
      <w:r w:rsidR="00381C31">
        <w:rPr>
          <w:rFonts w:ascii="Tahoma" w:hAnsi="Tahoma" w:cs="Tahoma"/>
        </w:rPr>
        <w:t>Benchmarking</w:t>
      </w:r>
      <w:r w:rsidR="00DE3939">
        <w:rPr>
          <w:rFonts w:ascii="Tahoma" w:hAnsi="Tahoma" w:cs="Tahoma"/>
        </w:rPr>
        <w:t xml:space="preserve"> Survey</w:t>
      </w:r>
      <w:r w:rsidR="00DE3939">
        <w:rPr>
          <w:rStyle w:val="FootnoteReference"/>
          <w:rFonts w:ascii="Tahoma" w:hAnsi="Tahoma" w:cs="Tahoma"/>
        </w:rPr>
        <w:footnoteReference w:id="1"/>
      </w:r>
      <w:r w:rsidR="00381C31">
        <w:rPr>
          <w:rFonts w:ascii="Tahoma" w:hAnsi="Tahoma" w:cs="Tahoma"/>
        </w:rPr>
        <w:t>, which showed that the vast majority of organisations undertook involvement and participation initiatives such as staff engagement surveys, staff meetings and team meetings on a regular basis.</w:t>
      </w:r>
    </w:p>
    <w:p w14:paraId="71211742" w14:textId="7CE82D43" w:rsidR="001A0DA3" w:rsidRDefault="00DE02EC" w:rsidP="00D82687">
      <w:pPr>
        <w:spacing w:after="0" w:line="240" w:lineRule="auto"/>
        <w:rPr>
          <w:rFonts w:ascii="Tahoma" w:hAnsi="Tahoma" w:cs="Tahoma"/>
        </w:rPr>
      </w:pPr>
      <w:r>
        <w:rPr>
          <w:rFonts w:ascii="Tahoma" w:hAnsi="Tahoma" w:cs="Tahoma"/>
        </w:rPr>
        <w:t>However,</w:t>
      </w:r>
      <w:r w:rsidR="00883F71">
        <w:rPr>
          <w:rFonts w:ascii="Tahoma" w:hAnsi="Tahoma" w:cs="Tahoma"/>
        </w:rPr>
        <w:t xml:space="preserve"> amongst frontline workers, whilst many described opportunities for putting across suggestions, a lot said</w:t>
      </w:r>
      <w:r>
        <w:rPr>
          <w:rFonts w:ascii="Tahoma" w:hAnsi="Tahoma" w:cs="Tahoma"/>
        </w:rPr>
        <w:t xml:space="preserve"> they didn’t feel that suggestions were act</w:t>
      </w:r>
      <w:r w:rsidR="003C59EB">
        <w:rPr>
          <w:rFonts w:ascii="Tahoma" w:hAnsi="Tahoma" w:cs="Tahoma"/>
        </w:rPr>
        <w:t xml:space="preserve">ed upon. </w:t>
      </w:r>
    </w:p>
    <w:p w14:paraId="741ABBA5" w14:textId="77777777" w:rsidR="003C59EB" w:rsidRDefault="003C59EB" w:rsidP="00D82687">
      <w:pPr>
        <w:spacing w:after="0" w:line="240" w:lineRule="auto"/>
        <w:rPr>
          <w:rFonts w:ascii="Tahoma" w:hAnsi="Tahoma" w:cs="Tahoma"/>
        </w:rPr>
      </w:pPr>
    </w:p>
    <w:p w14:paraId="37228FD3" w14:textId="16791A64" w:rsidR="00904EAB" w:rsidRDefault="00904EAB" w:rsidP="00D82687">
      <w:pPr>
        <w:spacing w:after="0" w:line="240" w:lineRule="auto"/>
        <w:rPr>
          <w:rFonts w:ascii="Tahoma" w:hAnsi="Tahoma" w:cs="Tahoma"/>
          <w:i/>
        </w:rPr>
      </w:pPr>
      <w:r w:rsidRPr="00904EAB">
        <w:rPr>
          <w:rFonts w:ascii="Tahoma" w:hAnsi="Tahoma" w:cs="Tahoma"/>
          <w:i/>
        </w:rPr>
        <w:t>“Staff are involved in policy changes and always shown new paperwork. However I often feel that our opinion is not val</w:t>
      </w:r>
      <w:r w:rsidR="00883F71">
        <w:rPr>
          <w:rFonts w:ascii="Tahoma" w:hAnsi="Tahoma" w:cs="Tahoma"/>
          <w:i/>
        </w:rPr>
        <w:t>ued.”</w:t>
      </w:r>
    </w:p>
    <w:p w14:paraId="6724799C" w14:textId="77777777" w:rsidR="00A85C29" w:rsidRDefault="00A85C29" w:rsidP="00D82687">
      <w:pPr>
        <w:spacing w:after="0" w:line="240" w:lineRule="auto"/>
        <w:rPr>
          <w:rFonts w:ascii="Tahoma" w:hAnsi="Tahoma" w:cs="Tahoma"/>
          <w:i/>
        </w:rPr>
      </w:pPr>
    </w:p>
    <w:p w14:paraId="409D9A4F" w14:textId="3EF61BE3" w:rsidR="003C59EB" w:rsidRDefault="00A85C29" w:rsidP="00D82687">
      <w:pPr>
        <w:spacing w:after="0" w:line="240" w:lineRule="auto"/>
        <w:rPr>
          <w:rFonts w:ascii="Tahoma" w:hAnsi="Tahoma" w:cs="Tahoma"/>
          <w:i/>
        </w:rPr>
      </w:pPr>
      <w:r>
        <w:rPr>
          <w:rFonts w:ascii="Tahoma" w:hAnsi="Tahoma" w:cs="Tahoma"/>
          <w:i/>
        </w:rPr>
        <w:t>“Although often involved, my input seems undervalued and insignificant</w:t>
      </w:r>
      <w:r w:rsidR="00883F71">
        <w:rPr>
          <w:rFonts w:ascii="Tahoma" w:hAnsi="Tahoma" w:cs="Tahoma"/>
          <w:i/>
        </w:rPr>
        <w:t>.</w:t>
      </w:r>
      <w:r>
        <w:rPr>
          <w:rFonts w:ascii="Tahoma" w:hAnsi="Tahoma" w:cs="Tahoma"/>
          <w:i/>
        </w:rPr>
        <w:t>”</w:t>
      </w:r>
    </w:p>
    <w:p w14:paraId="5E0E8DBC" w14:textId="77777777" w:rsidR="00D35EF3" w:rsidRDefault="00D35EF3" w:rsidP="00D82687">
      <w:pPr>
        <w:spacing w:after="0" w:line="240" w:lineRule="auto"/>
        <w:rPr>
          <w:rFonts w:ascii="Tahoma" w:hAnsi="Tahoma" w:cs="Tahoma"/>
          <w:i/>
        </w:rPr>
      </w:pPr>
    </w:p>
    <w:p w14:paraId="6F6041D5" w14:textId="62F713C4" w:rsidR="00D35EF3" w:rsidRPr="00D35EF3" w:rsidRDefault="0019156C" w:rsidP="00D82687">
      <w:pPr>
        <w:spacing w:after="0" w:line="240" w:lineRule="auto"/>
        <w:rPr>
          <w:rFonts w:ascii="Tahoma" w:hAnsi="Tahoma" w:cs="Tahoma"/>
        </w:rPr>
      </w:pPr>
      <w:r>
        <w:rPr>
          <w:rFonts w:ascii="Tahoma" w:hAnsi="Tahoma" w:cs="Tahoma"/>
        </w:rPr>
        <w:t>T</w:t>
      </w:r>
      <w:r w:rsidR="00D35EF3">
        <w:rPr>
          <w:rFonts w:ascii="Tahoma" w:hAnsi="Tahoma" w:cs="Tahoma"/>
        </w:rPr>
        <w:t xml:space="preserve">here </w:t>
      </w:r>
      <w:r>
        <w:rPr>
          <w:rFonts w:ascii="Tahoma" w:hAnsi="Tahoma" w:cs="Tahoma"/>
        </w:rPr>
        <w:t xml:space="preserve">were a smaller number of </w:t>
      </w:r>
      <w:r w:rsidR="00D35EF3">
        <w:rPr>
          <w:rFonts w:ascii="Tahoma" w:hAnsi="Tahoma" w:cs="Tahoma"/>
        </w:rPr>
        <w:t>more acutely negative comments</w:t>
      </w:r>
      <w:r>
        <w:rPr>
          <w:rFonts w:ascii="Tahoma" w:hAnsi="Tahoma" w:cs="Tahoma"/>
        </w:rPr>
        <w:t xml:space="preserve"> on involvement. More of these were from workers in the independent sector, although there were some in the voluntary sector as well. Typically these comments</w:t>
      </w:r>
      <w:r w:rsidR="00D35EF3">
        <w:rPr>
          <w:rFonts w:ascii="Tahoma" w:hAnsi="Tahoma" w:cs="Tahoma"/>
        </w:rPr>
        <w:t xml:space="preserve"> </w:t>
      </w:r>
      <w:r>
        <w:rPr>
          <w:rFonts w:ascii="Tahoma" w:hAnsi="Tahoma" w:cs="Tahoma"/>
        </w:rPr>
        <w:t>expressed concern over</w:t>
      </w:r>
      <w:r w:rsidR="00D35EF3">
        <w:rPr>
          <w:rFonts w:ascii="Tahoma" w:hAnsi="Tahoma" w:cs="Tahoma"/>
        </w:rPr>
        <w:t xml:space="preserve"> few or limited opportunities for involvement and a low level of regard </w:t>
      </w:r>
      <w:r>
        <w:rPr>
          <w:rFonts w:ascii="Tahoma" w:hAnsi="Tahoma" w:cs="Tahoma"/>
        </w:rPr>
        <w:t xml:space="preserve">given to their opinions when they were </w:t>
      </w:r>
      <w:r w:rsidR="00D35EF3">
        <w:rPr>
          <w:rFonts w:ascii="Tahoma" w:hAnsi="Tahoma" w:cs="Tahoma"/>
        </w:rPr>
        <w:t>expressed.</w:t>
      </w:r>
    </w:p>
    <w:p w14:paraId="1D8635BE" w14:textId="77777777" w:rsidR="001A0DA3" w:rsidRDefault="001A0DA3" w:rsidP="00D82687">
      <w:pPr>
        <w:spacing w:after="0" w:line="240" w:lineRule="auto"/>
        <w:rPr>
          <w:rFonts w:ascii="Tahoma" w:hAnsi="Tahoma" w:cs="Tahoma"/>
        </w:rPr>
      </w:pPr>
    </w:p>
    <w:p w14:paraId="40C869C1" w14:textId="77777777" w:rsidR="008213BC" w:rsidRPr="00090A72" w:rsidRDefault="00381937" w:rsidP="00D82687">
      <w:pPr>
        <w:spacing w:after="0" w:line="240" w:lineRule="auto"/>
        <w:rPr>
          <w:rFonts w:ascii="Tahoma" w:hAnsi="Tahoma" w:cs="Tahoma"/>
        </w:rPr>
      </w:pPr>
      <w:r>
        <w:rPr>
          <w:rFonts w:ascii="Tahoma" w:hAnsi="Tahoma" w:cs="Tahoma"/>
          <w:b/>
        </w:rPr>
        <w:t>Q2 -</w:t>
      </w:r>
      <w:r w:rsidR="008213BC" w:rsidRPr="000D1BA2">
        <w:rPr>
          <w:rFonts w:ascii="Tahoma" w:hAnsi="Tahoma" w:cs="Tahoma"/>
          <w:b/>
        </w:rPr>
        <w:t xml:space="preserve"> </w:t>
      </w:r>
      <w:r w:rsidR="00795D65" w:rsidRPr="000D1BA2">
        <w:rPr>
          <w:rFonts w:ascii="Tahoma" w:hAnsi="Tahoma" w:cs="Tahoma"/>
          <w:b/>
        </w:rPr>
        <w:t>‘</w:t>
      </w:r>
      <w:r w:rsidR="008213BC" w:rsidRPr="000D1BA2">
        <w:rPr>
          <w:rFonts w:ascii="Tahoma" w:hAnsi="Tahoma" w:cs="Tahoma"/>
          <w:b/>
          <w:lang w:val="en"/>
        </w:rPr>
        <w:t>To what extent is your role valu</w:t>
      </w:r>
      <w:r w:rsidR="00D82687" w:rsidRPr="000D1BA2">
        <w:rPr>
          <w:rFonts w:ascii="Tahoma" w:hAnsi="Tahoma" w:cs="Tahoma"/>
          <w:b/>
          <w:lang w:val="en"/>
        </w:rPr>
        <w:t xml:space="preserve">ed by people you work with from </w:t>
      </w:r>
      <w:r w:rsidR="008213BC" w:rsidRPr="000D1BA2">
        <w:rPr>
          <w:rFonts w:ascii="Tahoma" w:hAnsi="Tahoma" w:cs="Tahoma"/>
          <w:b/>
          <w:lang w:val="en"/>
        </w:rPr>
        <w:t>other organisations (for example, from other health and social care organisations)?</w:t>
      </w:r>
      <w:r w:rsidR="00795D65" w:rsidRPr="000D1BA2">
        <w:rPr>
          <w:rFonts w:ascii="Tahoma" w:hAnsi="Tahoma" w:cs="Tahoma"/>
          <w:b/>
          <w:lang w:val="en"/>
        </w:rPr>
        <w:t>’</w:t>
      </w:r>
    </w:p>
    <w:p w14:paraId="638DDFA3" w14:textId="77777777" w:rsidR="00381937" w:rsidRPr="00AD49E7" w:rsidRDefault="00090A72" w:rsidP="00AD49E7">
      <w:pPr>
        <w:spacing w:after="0" w:line="240" w:lineRule="auto"/>
        <w:rPr>
          <w:rFonts w:ascii="Tahoma" w:hAnsi="Tahoma" w:cs="Tahoma"/>
        </w:rPr>
      </w:pPr>
      <w:r w:rsidRPr="000D1BA2">
        <w:rPr>
          <w:rFonts w:ascii="Tahoma" w:hAnsi="Tahoma" w:cs="Tahoma"/>
          <w:noProof/>
          <w:lang w:eastAsia="en-GB"/>
        </w:rPr>
        <w:drawing>
          <wp:anchor distT="0" distB="0" distL="114300" distR="114300" simplePos="0" relativeHeight="251666432" behindDoc="1" locked="0" layoutInCell="1" allowOverlap="1" wp14:anchorId="338C94E9" wp14:editId="33396AAA">
            <wp:simplePos x="0" y="0"/>
            <wp:positionH relativeFrom="column">
              <wp:posOffset>-30480</wp:posOffset>
            </wp:positionH>
            <wp:positionV relativeFrom="paragraph">
              <wp:posOffset>281940</wp:posOffset>
            </wp:positionV>
            <wp:extent cx="2842260" cy="2385060"/>
            <wp:effectExtent l="0" t="0" r="15240" b="15240"/>
            <wp:wrapTight wrapText="bothSides">
              <wp:wrapPolygon edited="0">
                <wp:start x="0" y="0"/>
                <wp:lineTo x="0" y="21565"/>
                <wp:lineTo x="21571" y="21565"/>
                <wp:lineTo x="21571" y="0"/>
                <wp:lineTo x="0" y="0"/>
              </wp:wrapPolygon>
            </wp:wrapTight>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0D1BA2">
        <w:rPr>
          <w:rFonts w:ascii="Tahoma" w:hAnsi="Tahoma" w:cs="Tahoma"/>
          <w:noProof/>
          <w:lang w:eastAsia="en-GB"/>
        </w:rPr>
        <w:drawing>
          <wp:anchor distT="0" distB="0" distL="114300" distR="114300" simplePos="0" relativeHeight="251667456" behindDoc="1" locked="0" layoutInCell="1" allowOverlap="1" wp14:anchorId="3CBDC231" wp14:editId="56CFA1C0">
            <wp:simplePos x="0" y="0"/>
            <wp:positionH relativeFrom="column">
              <wp:posOffset>2948940</wp:posOffset>
            </wp:positionH>
            <wp:positionV relativeFrom="paragraph">
              <wp:posOffset>289560</wp:posOffset>
            </wp:positionV>
            <wp:extent cx="3200400" cy="2339340"/>
            <wp:effectExtent l="0" t="0" r="0" b="3810"/>
            <wp:wrapTight wrapText="bothSides">
              <wp:wrapPolygon edited="0">
                <wp:start x="0" y="0"/>
                <wp:lineTo x="0" y="21459"/>
                <wp:lineTo x="21471" y="21459"/>
                <wp:lineTo x="21471" y="0"/>
                <wp:lineTo x="0" y="0"/>
              </wp:wrapPolygon>
            </wp:wrapTight>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54C957D7" w14:textId="77777777" w:rsidR="00D71B3D" w:rsidRDefault="00D71B3D" w:rsidP="00381937">
      <w:pPr>
        <w:spacing w:after="0" w:line="240" w:lineRule="auto"/>
        <w:rPr>
          <w:rFonts w:ascii="Tahoma" w:hAnsi="Tahoma" w:cs="Tahoma"/>
          <w:b/>
        </w:rPr>
      </w:pPr>
    </w:p>
    <w:p w14:paraId="505A432F" w14:textId="15F99CD8" w:rsidR="00090A72" w:rsidRDefault="00090A72" w:rsidP="00381937">
      <w:pPr>
        <w:spacing w:after="0" w:line="240" w:lineRule="auto"/>
        <w:rPr>
          <w:rFonts w:ascii="Tahoma" w:hAnsi="Tahoma" w:cs="Tahoma"/>
        </w:rPr>
      </w:pPr>
      <w:r>
        <w:rPr>
          <w:rFonts w:ascii="Tahoma" w:hAnsi="Tahoma" w:cs="Tahoma"/>
        </w:rPr>
        <w:t>Comments across</w:t>
      </w:r>
      <w:r w:rsidR="00D35EF3">
        <w:rPr>
          <w:rFonts w:ascii="Tahoma" w:hAnsi="Tahoma" w:cs="Tahoma"/>
        </w:rPr>
        <w:t xml:space="preserve"> all</w:t>
      </w:r>
      <w:r>
        <w:rPr>
          <w:rFonts w:ascii="Tahoma" w:hAnsi="Tahoma" w:cs="Tahoma"/>
        </w:rPr>
        <w:t xml:space="preserve"> the categories of staff in this section reflected that where relationships had been built up with external partners there was a relatively high level of appreciation for the roles of people </w:t>
      </w:r>
      <w:r w:rsidR="00883F71">
        <w:rPr>
          <w:rFonts w:ascii="Tahoma" w:hAnsi="Tahoma" w:cs="Tahoma"/>
        </w:rPr>
        <w:t>working in the voluntary</w:t>
      </w:r>
      <w:r w:rsidR="001C1968">
        <w:rPr>
          <w:rFonts w:ascii="Tahoma" w:hAnsi="Tahoma" w:cs="Tahoma"/>
        </w:rPr>
        <w:t xml:space="preserve"> </w:t>
      </w:r>
      <w:r w:rsidR="00EA2165">
        <w:rPr>
          <w:rFonts w:ascii="Tahoma" w:hAnsi="Tahoma" w:cs="Tahoma"/>
        </w:rPr>
        <w:t>and independent sectors</w:t>
      </w:r>
      <w:r w:rsidR="00883F71">
        <w:rPr>
          <w:rFonts w:ascii="Tahoma" w:hAnsi="Tahoma" w:cs="Tahoma"/>
        </w:rPr>
        <w:t>:</w:t>
      </w:r>
    </w:p>
    <w:p w14:paraId="173F4ACF" w14:textId="77777777" w:rsidR="00883F71" w:rsidRDefault="00883F71" w:rsidP="00381937">
      <w:pPr>
        <w:spacing w:after="0" w:line="240" w:lineRule="auto"/>
        <w:rPr>
          <w:rFonts w:ascii="Tahoma" w:hAnsi="Tahoma" w:cs="Tahoma"/>
        </w:rPr>
      </w:pPr>
    </w:p>
    <w:p w14:paraId="1642F324" w14:textId="24EBBA33" w:rsidR="00D35EF3" w:rsidRDefault="00D35EF3" w:rsidP="00381937">
      <w:pPr>
        <w:spacing w:after="0" w:line="240" w:lineRule="auto"/>
        <w:rPr>
          <w:rFonts w:ascii="Tahoma" w:hAnsi="Tahoma" w:cs="Tahoma"/>
          <w:i/>
        </w:rPr>
      </w:pPr>
      <w:r w:rsidRPr="00D35EF3">
        <w:rPr>
          <w:rFonts w:ascii="Tahoma" w:hAnsi="Tahoma" w:cs="Tahoma"/>
          <w:i/>
        </w:rPr>
        <w:t>“I work very closely with CPN’s and health professionals and I feel we value each other’s input in the daily lives of the people we support”.</w:t>
      </w:r>
    </w:p>
    <w:p w14:paraId="78AE145B" w14:textId="77777777" w:rsidR="00D35EF3" w:rsidRDefault="00D35EF3" w:rsidP="00D35EF3">
      <w:pPr>
        <w:spacing w:after="0" w:line="240" w:lineRule="auto"/>
        <w:rPr>
          <w:rFonts w:ascii="Tahoma" w:hAnsi="Tahoma" w:cs="Tahoma"/>
          <w:i/>
        </w:rPr>
      </w:pPr>
      <w:r>
        <w:rPr>
          <w:rFonts w:ascii="Tahoma" w:hAnsi="Tahoma" w:cs="Tahoma"/>
          <w:i/>
        </w:rPr>
        <w:t xml:space="preserve">“The service has excellent working relationships with Care Management. </w:t>
      </w:r>
      <w:proofErr w:type="gramStart"/>
      <w:r>
        <w:rPr>
          <w:rFonts w:ascii="Tahoma" w:hAnsi="Tahoma" w:cs="Tahoma"/>
          <w:i/>
        </w:rPr>
        <w:t>AHP, commissioners and CI.</w:t>
      </w:r>
      <w:proofErr w:type="gramEnd"/>
      <w:r>
        <w:rPr>
          <w:rFonts w:ascii="Tahoma" w:hAnsi="Tahoma" w:cs="Tahoma"/>
          <w:i/>
        </w:rPr>
        <w:t xml:space="preserve"> We offer use if our training facilities to NHS and other support providers”</w:t>
      </w:r>
    </w:p>
    <w:p w14:paraId="494FD102" w14:textId="77777777" w:rsidR="00D35EF3" w:rsidRDefault="00D35EF3" w:rsidP="00D35EF3">
      <w:pPr>
        <w:spacing w:after="0" w:line="240" w:lineRule="auto"/>
        <w:rPr>
          <w:rFonts w:ascii="Tahoma" w:hAnsi="Tahoma" w:cs="Tahoma"/>
          <w:i/>
        </w:rPr>
      </w:pPr>
      <w:r>
        <w:rPr>
          <w:rFonts w:ascii="Tahoma" w:hAnsi="Tahoma" w:cs="Tahoma"/>
          <w:i/>
        </w:rPr>
        <w:t xml:space="preserve"> </w:t>
      </w:r>
    </w:p>
    <w:p w14:paraId="16120D93" w14:textId="77777777" w:rsidR="00D35EF3" w:rsidRDefault="00D35EF3" w:rsidP="00D35EF3">
      <w:pPr>
        <w:spacing w:after="0" w:line="240" w:lineRule="auto"/>
        <w:rPr>
          <w:rFonts w:ascii="Tahoma" w:hAnsi="Tahoma" w:cs="Tahoma"/>
          <w:i/>
        </w:rPr>
      </w:pPr>
      <w:r>
        <w:rPr>
          <w:rFonts w:ascii="Tahoma" w:hAnsi="Tahoma" w:cs="Tahoma"/>
          <w:i/>
        </w:rPr>
        <w:t>“I feel my opinion is valued.”</w:t>
      </w:r>
    </w:p>
    <w:p w14:paraId="05E9E2CA" w14:textId="77777777" w:rsidR="00D35EF3" w:rsidRPr="00D35EF3" w:rsidRDefault="00D35EF3" w:rsidP="00381937">
      <w:pPr>
        <w:spacing w:after="0" w:line="240" w:lineRule="auto"/>
        <w:rPr>
          <w:rFonts w:ascii="Tahoma" w:hAnsi="Tahoma" w:cs="Tahoma"/>
          <w:i/>
        </w:rPr>
      </w:pPr>
    </w:p>
    <w:p w14:paraId="7A462B6E" w14:textId="398001C5" w:rsidR="00D35EF3" w:rsidRDefault="00D35EF3" w:rsidP="00381937">
      <w:pPr>
        <w:spacing w:after="0" w:line="240" w:lineRule="auto"/>
        <w:rPr>
          <w:rFonts w:ascii="Tahoma" w:hAnsi="Tahoma" w:cs="Tahoma"/>
        </w:rPr>
      </w:pPr>
      <w:r>
        <w:rPr>
          <w:rFonts w:ascii="Tahoma" w:hAnsi="Tahoma" w:cs="Tahoma"/>
        </w:rPr>
        <w:t>However, a number of comments reflected that people feel less valued by those working in partner organisations:</w:t>
      </w:r>
    </w:p>
    <w:p w14:paraId="7ED0A3E6" w14:textId="77777777" w:rsidR="00D35EF3" w:rsidRDefault="00D35EF3" w:rsidP="00381937">
      <w:pPr>
        <w:spacing w:after="0" w:line="240" w:lineRule="auto"/>
        <w:rPr>
          <w:rFonts w:ascii="Tahoma" w:hAnsi="Tahoma" w:cs="Tahoma"/>
        </w:rPr>
      </w:pPr>
    </w:p>
    <w:p w14:paraId="252CBDBF" w14:textId="263279DE" w:rsidR="00D35EF3" w:rsidRDefault="00D35EF3" w:rsidP="00381937">
      <w:pPr>
        <w:spacing w:after="0" w:line="240" w:lineRule="auto"/>
        <w:rPr>
          <w:rFonts w:ascii="Tahoma" w:hAnsi="Tahoma" w:cs="Tahoma"/>
          <w:i/>
        </w:rPr>
      </w:pPr>
      <w:r w:rsidRPr="00D35EF3">
        <w:rPr>
          <w:rFonts w:ascii="Tahoma" w:hAnsi="Tahoma" w:cs="Tahoma"/>
          <w:i/>
        </w:rPr>
        <w:t>At times medical staff will recognise support staff as being knowledgeable/valuable.  However I have also heard, ‘Oh they are only a support worker’.”</w:t>
      </w:r>
    </w:p>
    <w:p w14:paraId="797A0ACB" w14:textId="77777777" w:rsidR="00D35EF3" w:rsidRDefault="00D35EF3" w:rsidP="00381937">
      <w:pPr>
        <w:spacing w:after="0" w:line="240" w:lineRule="auto"/>
        <w:rPr>
          <w:rFonts w:ascii="Tahoma" w:hAnsi="Tahoma" w:cs="Tahoma"/>
          <w:i/>
        </w:rPr>
      </w:pPr>
    </w:p>
    <w:p w14:paraId="59FD0315" w14:textId="6EC1EA26" w:rsidR="00D35EF3" w:rsidRDefault="00D35EF3" w:rsidP="00381937">
      <w:pPr>
        <w:spacing w:after="0" w:line="240" w:lineRule="auto"/>
        <w:rPr>
          <w:rFonts w:ascii="Tahoma" w:hAnsi="Tahoma" w:cs="Tahoma"/>
          <w:i/>
        </w:rPr>
      </w:pPr>
      <w:r>
        <w:rPr>
          <w:rFonts w:ascii="Tahoma" w:hAnsi="Tahoma" w:cs="Tahoma"/>
          <w:i/>
        </w:rPr>
        <w:t>Most outside people (doctors, care managers, social workers</w:t>
      </w:r>
      <w:r w:rsidR="001C1968" w:rsidRPr="00EA2165">
        <w:rPr>
          <w:rFonts w:ascii="Tahoma" w:hAnsi="Tahoma" w:cs="Tahoma"/>
          <w:i/>
        </w:rPr>
        <w:t>)</w:t>
      </w:r>
      <w:r w:rsidR="007376D4">
        <w:rPr>
          <w:rFonts w:ascii="Tahoma" w:hAnsi="Tahoma" w:cs="Tahoma"/>
          <w:i/>
        </w:rPr>
        <w:t>,</w:t>
      </w:r>
      <w:r>
        <w:rPr>
          <w:rFonts w:ascii="Tahoma" w:hAnsi="Tahoma" w:cs="Tahoma"/>
          <w:i/>
        </w:rPr>
        <w:t xml:space="preserve"> etc. think my role is a joke and I have no part to play in the care sector’.</w:t>
      </w:r>
    </w:p>
    <w:p w14:paraId="22363913" w14:textId="7B79632A" w:rsidR="00D35EF3" w:rsidRDefault="00D35EF3" w:rsidP="00381937">
      <w:pPr>
        <w:spacing w:after="0" w:line="240" w:lineRule="auto"/>
        <w:rPr>
          <w:rFonts w:ascii="Tahoma" w:hAnsi="Tahoma" w:cs="Tahoma"/>
          <w:i/>
        </w:rPr>
      </w:pPr>
    </w:p>
    <w:p w14:paraId="7ADE369E" w14:textId="4F83997D" w:rsidR="00D35EF3" w:rsidRPr="00D35EF3" w:rsidRDefault="00D35EF3" w:rsidP="00381937">
      <w:pPr>
        <w:spacing w:after="0" w:line="240" w:lineRule="auto"/>
        <w:rPr>
          <w:rFonts w:ascii="Tahoma" w:hAnsi="Tahoma" w:cs="Tahoma"/>
          <w:b/>
        </w:rPr>
      </w:pPr>
      <w:r>
        <w:rPr>
          <w:rFonts w:ascii="Tahoma" w:hAnsi="Tahoma" w:cs="Tahoma"/>
        </w:rPr>
        <w:t>Whilst it is likely that the ‘outside people’ referred to would challenge this statement, this perception of value being placed on car</w:t>
      </w:r>
      <w:r w:rsidR="007376D4">
        <w:rPr>
          <w:rFonts w:ascii="Tahoma" w:hAnsi="Tahoma" w:cs="Tahoma"/>
        </w:rPr>
        <w:t>e</w:t>
      </w:r>
      <w:r>
        <w:rPr>
          <w:rFonts w:ascii="Tahoma" w:hAnsi="Tahoma" w:cs="Tahoma"/>
        </w:rPr>
        <w:t>/support workers was found in several comments</w:t>
      </w:r>
      <w:r w:rsidR="007376D4">
        <w:rPr>
          <w:rFonts w:ascii="Tahoma" w:hAnsi="Tahoma" w:cs="Tahoma"/>
        </w:rPr>
        <w:t>.</w:t>
      </w:r>
    </w:p>
    <w:p w14:paraId="31D03206" w14:textId="77777777" w:rsidR="00D71B3D" w:rsidRDefault="00D71B3D" w:rsidP="00381937">
      <w:pPr>
        <w:spacing w:after="0" w:line="240" w:lineRule="auto"/>
        <w:rPr>
          <w:rFonts w:ascii="Tahoma" w:hAnsi="Tahoma" w:cs="Tahoma"/>
          <w:b/>
        </w:rPr>
      </w:pPr>
    </w:p>
    <w:p w14:paraId="1B1BE2C1" w14:textId="77777777" w:rsidR="00381937" w:rsidRDefault="00381937" w:rsidP="00381937">
      <w:pPr>
        <w:spacing w:after="0" w:line="240" w:lineRule="auto"/>
        <w:rPr>
          <w:rFonts w:ascii="Tahoma" w:hAnsi="Tahoma" w:cs="Tahoma"/>
          <w:b/>
          <w:lang w:val="en"/>
        </w:rPr>
      </w:pPr>
      <w:r w:rsidRPr="000D1BA2">
        <w:rPr>
          <w:rFonts w:ascii="Tahoma" w:hAnsi="Tahoma" w:cs="Tahoma"/>
          <w:b/>
        </w:rPr>
        <w:t xml:space="preserve">Question </w:t>
      </w:r>
      <w:r>
        <w:rPr>
          <w:rFonts w:ascii="Tahoma" w:hAnsi="Tahoma" w:cs="Tahoma"/>
          <w:b/>
        </w:rPr>
        <w:t>3</w:t>
      </w:r>
      <w:r w:rsidRPr="000D1BA2">
        <w:rPr>
          <w:rFonts w:ascii="Tahoma" w:hAnsi="Tahoma" w:cs="Tahoma"/>
          <w:b/>
        </w:rPr>
        <w:t xml:space="preserve"> ‘</w:t>
      </w:r>
      <w:r w:rsidRPr="000D1BA2">
        <w:rPr>
          <w:rFonts w:ascii="Tahoma" w:hAnsi="Tahoma" w:cs="Tahoma"/>
          <w:b/>
          <w:lang w:val="en"/>
        </w:rPr>
        <w:t>To what extent does your role give you the opportunity to support those who use your service to meet their individual needs and outcomes?</w:t>
      </w:r>
    </w:p>
    <w:p w14:paraId="17D6C009" w14:textId="77777777" w:rsidR="00381937" w:rsidRPr="000D1BA2" w:rsidRDefault="00381937" w:rsidP="00381937">
      <w:pPr>
        <w:spacing w:after="0" w:line="240" w:lineRule="auto"/>
        <w:rPr>
          <w:rFonts w:ascii="Tahoma" w:hAnsi="Tahoma" w:cs="Tahoma"/>
        </w:rPr>
      </w:pPr>
    </w:p>
    <w:p w14:paraId="2491DC68" w14:textId="77777777" w:rsidR="00EB6F63" w:rsidRPr="00EB6F63" w:rsidRDefault="00381937" w:rsidP="00121CBF">
      <w:pPr>
        <w:spacing w:after="0" w:line="240" w:lineRule="auto"/>
        <w:rPr>
          <w:rFonts w:ascii="Tahoma" w:hAnsi="Tahoma" w:cs="Tahoma"/>
          <w:b/>
          <w:lang w:val="en"/>
        </w:rPr>
      </w:pPr>
      <w:r w:rsidRPr="000D1BA2">
        <w:rPr>
          <w:rFonts w:ascii="Tahoma" w:hAnsi="Tahoma" w:cs="Tahoma"/>
          <w:noProof/>
          <w:lang w:eastAsia="en-GB"/>
        </w:rPr>
        <w:drawing>
          <wp:anchor distT="0" distB="0" distL="114300" distR="114300" simplePos="0" relativeHeight="251670528" behindDoc="1" locked="0" layoutInCell="1" allowOverlap="1" wp14:anchorId="767D1551" wp14:editId="37A7CB13">
            <wp:simplePos x="0" y="0"/>
            <wp:positionH relativeFrom="column">
              <wp:posOffset>3002280</wp:posOffset>
            </wp:positionH>
            <wp:positionV relativeFrom="paragraph">
              <wp:posOffset>0</wp:posOffset>
            </wp:positionV>
            <wp:extent cx="3070860" cy="2034540"/>
            <wp:effectExtent l="0" t="0" r="15240" b="3810"/>
            <wp:wrapTight wrapText="bothSides">
              <wp:wrapPolygon edited="0">
                <wp:start x="0" y="0"/>
                <wp:lineTo x="0" y="21438"/>
                <wp:lineTo x="21573" y="21438"/>
                <wp:lineTo x="21573" y="0"/>
                <wp:lineTo x="0" y="0"/>
              </wp:wrapPolygon>
            </wp:wrapTight>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Pr="000D1BA2">
        <w:rPr>
          <w:rFonts w:ascii="Tahoma" w:hAnsi="Tahoma" w:cs="Tahoma"/>
          <w:noProof/>
          <w:lang w:eastAsia="en-GB"/>
        </w:rPr>
        <w:drawing>
          <wp:anchor distT="0" distB="0" distL="114300" distR="114300" simplePos="0" relativeHeight="251669504" behindDoc="1" locked="0" layoutInCell="1" allowOverlap="1" wp14:anchorId="3B265B1D" wp14:editId="49823EC0">
            <wp:simplePos x="0" y="0"/>
            <wp:positionH relativeFrom="column">
              <wp:posOffset>0</wp:posOffset>
            </wp:positionH>
            <wp:positionV relativeFrom="paragraph">
              <wp:posOffset>0</wp:posOffset>
            </wp:positionV>
            <wp:extent cx="2903220" cy="2034540"/>
            <wp:effectExtent l="0" t="0" r="11430" b="3810"/>
            <wp:wrapTight wrapText="bothSides">
              <wp:wrapPolygon edited="0">
                <wp:start x="0" y="0"/>
                <wp:lineTo x="0" y="21438"/>
                <wp:lineTo x="21543" y="21438"/>
                <wp:lineTo x="21543" y="0"/>
                <wp:lineTo x="0" y="0"/>
              </wp:wrapPolygon>
            </wp:wrapTight>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3F7850E7" w14:textId="06A43498" w:rsidR="00006929" w:rsidRDefault="00EB6F63" w:rsidP="00121CBF">
      <w:pPr>
        <w:spacing w:after="0" w:line="240" w:lineRule="auto"/>
        <w:rPr>
          <w:rFonts w:ascii="Tahoma" w:hAnsi="Tahoma" w:cs="Tahoma"/>
        </w:rPr>
      </w:pPr>
      <w:r w:rsidRPr="00D31B8E">
        <w:rPr>
          <w:rFonts w:ascii="Tahoma" w:hAnsi="Tahoma" w:cs="Tahoma"/>
        </w:rPr>
        <w:t>Combining th</w:t>
      </w:r>
      <w:r w:rsidR="00D31B8E" w:rsidRPr="00D31B8E">
        <w:rPr>
          <w:rFonts w:ascii="Tahoma" w:hAnsi="Tahoma" w:cs="Tahoma"/>
        </w:rPr>
        <w:t>e sectors, 21 people, out of 737</w:t>
      </w:r>
      <w:r w:rsidRPr="00D31B8E">
        <w:rPr>
          <w:rFonts w:ascii="Tahoma" w:hAnsi="Tahoma" w:cs="Tahoma"/>
        </w:rPr>
        <w:t xml:space="preserve"> </w:t>
      </w:r>
      <w:r w:rsidR="00D31B8E" w:rsidRPr="00D31B8E">
        <w:rPr>
          <w:rFonts w:ascii="Tahoma" w:hAnsi="Tahoma" w:cs="Tahoma"/>
        </w:rPr>
        <w:t xml:space="preserve">respondents (just under 3%) </w:t>
      </w:r>
      <w:r w:rsidRPr="00D31B8E">
        <w:rPr>
          <w:rFonts w:ascii="Tahoma" w:hAnsi="Tahoma" w:cs="Tahoma"/>
        </w:rPr>
        <w:t xml:space="preserve">said that they never had the opportunity to </w:t>
      </w:r>
      <w:r w:rsidR="00ED5235">
        <w:rPr>
          <w:rFonts w:ascii="Tahoma" w:hAnsi="Tahoma" w:cs="Tahoma"/>
        </w:rPr>
        <w:t xml:space="preserve">provide </w:t>
      </w:r>
      <w:r w:rsidRPr="00D31B8E">
        <w:rPr>
          <w:rFonts w:ascii="Tahoma" w:hAnsi="Tahoma" w:cs="Tahoma"/>
        </w:rPr>
        <w:t xml:space="preserve">support in a way that met service </w:t>
      </w:r>
      <w:r w:rsidR="00D31B8E" w:rsidRPr="00D31B8E">
        <w:rPr>
          <w:rFonts w:ascii="Tahoma" w:hAnsi="Tahoma" w:cs="Tahoma"/>
        </w:rPr>
        <w:t>users’</w:t>
      </w:r>
      <w:r w:rsidRPr="00D31B8E">
        <w:rPr>
          <w:rFonts w:ascii="Tahoma" w:hAnsi="Tahoma" w:cs="Tahoma"/>
        </w:rPr>
        <w:t xml:space="preserve"> needs and</w:t>
      </w:r>
      <w:r w:rsidR="00D31B8E" w:rsidRPr="00D31B8E">
        <w:rPr>
          <w:rFonts w:ascii="Tahoma" w:hAnsi="Tahoma" w:cs="Tahoma"/>
        </w:rPr>
        <w:t xml:space="preserve"> outcomes.</w:t>
      </w:r>
      <w:r w:rsidR="00D31B8E">
        <w:rPr>
          <w:rFonts w:ascii="Tahoma" w:hAnsi="Tahoma" w:cs="Tahoma"/>
        </w:rPr>
        <w:t xml:space="preserve"> Of this relatively small number, the majority (11 people) worked in adult residential care. However, this need</w:t>
      </w:r>
      <w:r w:rsidR="007376D4">
        <w:rPr>
          <w:rFonts w:ascii="Tahoma" w:hAnsi="Tahoma" w:cs="Tahoma"/>
        </w:rPr>
        <w:t>s</w:t>
      </w:r>
      <w:r w:rsidR="00D31B8E">
        <w:rPr>
          <w:rFonts w:ascii="Tahoma" w:hAnsi="Tahoma" w:cs="Tahoma"/>
        </w:rPr>
        <w:t xml:space="preserve"> to be put in perspective</w:t>
      </w:r>
      <w:r w:rsidR="00375FE1">
        <w:rPr>
          <w:rFonts w:ascii="Tahoma" w:hAnsi="Tahoma" w:cs="Tahoma"/>
        </w:rPr>
        <w:t xml:space="preserve"> because, overall,</w:t>
      </w:r>
      <w:r w:rsidR="00D31B8E">
        <w:rPr>
          <w:rFonts w:ascii="Tahoma" w:hAnsi="Tahoma" w:cs="Tahoma"/>
        </w:rPr>
        <w:t xml:space="preserve"> most respondents were from this workplace category and most actually indicated that they often or always had the opportunity to support</w:t>
      </w:r>
      <w:r w:rsidR="00C06119">
        <w:rPr>
          <w:rFonts w:ascii="Tahoma" w:hAnsi="Tahoma" w:cs="Tahoma"/>
        </w:rPr>
        <w:t xml:space="preserve"> people in a way that met their desired outcomes</w:t>
      </w:r>
      <w:r w:rsidR="00D31B8E">
        <w:rPr>
          <w:rFonts w:ascii="Tahoma" w:hAnsi="Tahoma" w:cs="Tahoma"/>
        </w:rPr>
        <w:t xml:space="preserve">. </w:t>
      </w:r>
    </w:p>
    <w:p w14:paraId="60B90879" w14:textId="77777777" w:rsidR="00006929" w:rsidRDefault="00006929" w:rsidP="00121CBF">
      <w:pPr>
        <w:spacing w:after="0" w:line="240" w:lineRule="auto"/>
        <w:rPr>
          <w:rFonts w:ascii="Tahoma" w:hAnsi="Tahoma" w:cs="Tahoma"/>
        </w:rPr>
      </w:pPr>
    </w:p>
    <w:p w14:paraId="7BC04816" w14:textId="7FEDABF6" w:rsidR="00ED5235" w:rsidRDefault="00ED5235" w:rsidP="00121CBF">
      <w:pPr>
        <w:spacing w:after="0" w:line="240" w:lineRule="auto"/>
        <w:rPr>
          <w:rFonts w:ascii="Tahoma" w:hAnsi="Tahoma" w:cs="Tahoma"/>
        </w:rPr>
      </w:pPr>
      <w:r>
        <w:rPr>
          <w:rFonts w:ascii="Tahoma" w:hAnsi="Tahoma" w:cs="Tahoma"/>
        </w:rPr>
        <w:t xml:space="preserve">Some </w:t>
      </w:r>
      <w:r w:rsidR="00006929">
        <w:rPr>
          <w:rFonts w:ascii="Tahoma" w:hAnsi="Tahoma" w:cs="Tahoma"/>
        </w:rPr>
        <w:t xml:space="preserve">comments </w:t>
      </w:r>
      <w:r>
        <w:rPr>
          <w:rFonts w:ascii="Tahoma" w:hAnsi="Tahoma" w:cs="Tahoma"/>
        </w:rPr>
        <w:t>articulated how people felt they helped individuals achieve their outcomes:</w:t>
      </w:r>
    </w:p>
    <w:p w14:paraId="2F3818A4" w14:textId="77777777" w:rsidR="00ED5235" w:rsidRDefault="00ED5235" w:rsidP="00121CBF">
      <w:pPr>
        <w:spacing w:after="0" w:line="240" w:lineRule="auto"/>
        <w:rPr>
          <w:rFonts w:ascii="Tahoma" w:hAnsi="Tahoma" w:cs="Tahoma"/>
        </w:rPr>
      </w:pPr>
    </w:p>
    <w:p w14:paraId="3B81DDA2" w14:textId="43E9ED4D" w:rsidR="00ED5235" w:rsidRPr="00ED5235" w:rsidRDefault="00ED5235" w:rsidP="00121CBF">
      <w:pPr>
        <w:spacing w:after="0" w:line="240" w:lineRule="auto"/>
        <w:rPr>
          <w:rFonts w:ascii="Tahoma" w:hAnsi="Tahoma" w:cs="Tahoma"/>
          <w:i/>
        </w:rPr>
      </w:pPr>
      <w:r w:rsidRPr="00ED5235">
        <w:rPr>
          <w:rFonts w:ascii="Tahoma" w:hAnsi="Tahoma" w:cs="Tahoma"/>
          <w:i/>
        </w:rPr>
        <w:t>“By being committed and caring, listening to what they have to say.”</w:t>
      </w:r>
    </w:p>
    <w:p w14:paraId="758C4817" w14:textId="77777777" w:rsidR="00ED5235" w:rsidRPr="00ED5235" w:rsidRDefault="00ED5235" w:rsidP="00121CBF">
      <w:pPr>
        <w:spacing w:after="0" w:line="240" w:lineRule="auto"/>
        <w:rPr>
          <w:rFonts w:ascii="Tahoma" w:hAnsi="Tahoma" w:cs="Tahoma"/>
          <w:i/>
        </w:rPr>
      </w:pPr>
    </w:p>
    <w:p w14:paraId="6D7343F7" w14:textId="4C4D134A" w:rsidR="00ED5235" w:rsidRPr="00ED5235" w:rsidRDefault="00ED5235" w:rsidP="00121CBF">
      <w:pPr>
        <w:spacing w:after="0" w:line="240" w:lineRule="auto"/>
        <w:rPr>
          <w:rFonts w:ascii="Tahoma" w:hAnsi="Tahoma" w:cs="Tahoma"/>
          <w:i/>
        </w:rPr>
      </w:pPr>
      <w:r w:rsidRPr="00ED5235">
        <w:rPr>
          <w:rFonts w:ascii="Tahoma" w:hAnsi="Tahoma" w:cs="Tahoma"/>
          <w:i/>
        </w:rPr>
        <w:t>“By having a housing plan with all my residents and their views and wishes respected I can ensure that I can support their needs to the best of my ability”.</w:t>
      </w:r>
    </w:p>
    <w:p w14:paraId="6D069D1B" w14:textId="77777777" w:rsidR="00ED5235" w:rsidRDefault="00ED5235" w:rsidP="00121CBF">
      <w:pPr>
        <w:spacing w:after="0" w:line="240" w:lineRule="auto"/>
        <w:rPr>
          <w:rFonts w:ascii="Tahoma" w:hAnsi="Tahoma" w:cs="Tahoma"/>
        </w:rPr>
      </w:pPr>
    </w:p>
    <w:p w14:paraId="004180A3" w14:textId="0AABA86B" w:rsidR="00ED5235" w:rsidRDefault="000B362D" w:rsidP="00121CBF">
      <w:pPr>
        <w:spacing w:after="0" w:line="240" w:lineRule="auto"/>
        <w:rPr>
          <w:rFonts w:ascii="Tahoma" w:hAnsi="Tahoma" w:cs="Tahoma"/>
        </w:rPr>
      </w:pPr>
      <w:r>
        <w:rPr>
          <w:rFonts w:ascii="Tahoma" w:hAnsi="Tahoma" w:cs="Tahoma"/>
        </w:rPr>
        <w:t>A large number of comments</w:t>
      </w:r>
      <w:r w:rsidR="00ED5235">
        <w:rPr>
          <w:rFonts w:ascii="Tahoma" w:hAnsi="Tahoma" w:cs="Tahoma"/>
        </w:rPr>
        <w:t xml:space="preserve"> were less about the nature of the support, but rather described what was preventing them for supporting people as they would like:</w:t>
      </w:r>
    </w:p>
    <w:p w14:paraId="4032E3D7" w14:textId="77777777" w:rsidR="00ED5235" w:rsidRDefault="00ED5235" w:rsidP="00121CBF">
      <w:pPr>
        <w:spacing w:after="0" w:line="240" w:lineRule="auto"/>
        <w:rPr>
          <w:rFonts w:ascii="Tahoma" w:hAnsi="Tahoma" w:cs="Tahoma"/>
        </w:rPr>
      </w:pPr>
    </w:p>
    <w:p w14:paraId="7B5B7E9A" w14:textId="71D808B1" w:rsidR="00ED5235" w:rsidRPr="00ED5235" w:rsidRDefault="00ED5235" w:rsidP="00121CBF">
      <w:pPr>
        <w:spacing w:after="0" w:line="240" w:lineRule="auto"/>
        <w:rPr>
          <w:rFonts w:ascii="Tahoma" w:hAnsi="Tahoma" w:cs="Tahoma"/>
          <w:i/>
        </w:rPr>
      </w:pPr>
      <w:r w:rsidRPr="00ED5235">
        <w:rPr>
          <w:rFonts w:ascii="Tahoma" w:hAnsi="Tahoma" w:cs="Tahoma"/>
          <w:i/>
        </w:rPr>
        <w:t>“I am given every opportunity to support the people who use of service, but sometimes due to staff shortages I am unable to meet their needs.”</w:t>
      </w:r>
    </w:p>
    <w:p w14:paraId="5CCD4605" w14:textId="77777777" w:rsidR="00ED5235" w:rsidRPr="00ED5235" w:rsidRDefault="00ED5235" w:rsidP="00121CBF">
      <w:pPr>
        <w:spacing w:after="0" w:line="240" w:lineRule="auto"/>
        <w:rPr>
          <w:rFonts w:ascii="Tahoma" w:hAnsi="Tahoma" w:cs="Tahoma"/>
          <w:i/>
        </w:rPr>
      </w:pPr>
    </w:p>
    <w:p w14:paraId="4A041451" w14:textId="3A914C50" w:rsidR="00ED5235" w:rsidRPr="00ED5235" w:rsidRDefault="00ED5235" w:rsidP="00121CBF">
      <w:pPr>
        <w:spacing w:after="0" w:line="240" w:lineRule="auto"/>
        <w:rPr>
          <w:rFonts w:ascii="Tahoma" w:hAnsi="Tahoma" w:cs="Tahoma"/>
          <w:i/>
        </w:rPr>
      </w:pPr>
      <w:r w:rsidRPr="00ED5235">
        <w:rPr>
          <w:rFonts w:ascii="Tahoma" w:hAnsi="Tahoma" w:cs="Tahoma"/>
          <w:i/>
        </w:rPr>
        <w:t>“To an extent it is a rushed job, then on to the next because of the timescales…”</w:t>
      </w:r>
    </w:p>
    <w:p w14:paraId="73296064" w14:textId="77777777" w:rsidR="00ED5235" w:rsidRPr="00ED5235" w:rsidRDefault="00ED5235" w:rsidP="00121CBF">
      <w:pPr>
        <w:spacing w:after="0" w:line="240" w:lineRule="auto"/>
        <w:rPr>
          <w:rFonts w:ascii="Tahoma" w:hAnsi="Tahoma" w:cs="Tahoma"/>
          <w:i/>
        </w:rPr>
      </w:pPr>
    </w:p>
    <w:p w14:paraId="1563D989" w14:textId="527CE3CC" w:rsidR="00ED5235" w:rsidRDefault="00ED5235" w:rsidP="00121CBF">
      <w:pPr>
        <w:spacing w:after="0" w:line="240" w:lineRule="auto"/>
        <w:rPr>
          <w:rFonts w:ascii="Tahoma" w:hAnsi="Tahoma" w:cs="Tahoma"/>
          <w:i/>
        </w:rPr>
      </w:pPr>
      <w:r w:rsidRPr="00ED5235">
        <w:rPr>
          <w:rFonts w:ascii="Tahoma" w:hAnsi="Tahoma" w:cs="Tahoma"/>
          <w:i/>
        </w:rPr>
        <w:t>“….due to paperwork there is very little time to spend one to one with residents.”</w:t>
      </w:r>
    </w:p>
    <w:p w14:paraId="613974FA" w14:textId="77777777" w:rsidR="00ED5235" w:rsidRDefault="00ED5235" w:rsidP="00121CBF">
      <w:pPr>
        <w:spacing w:after="0" w:line="240" w:lineRule="auto"/>
        <w:rPr>
          <w:rFonts w:ascii="Tahoma" w:hAnsi="Tahoma" w:cs="Tahoma"/>
          <w:i/>
        </w:rPr>
      </w:pPr>
    </w:p>
    <w:p w14:paraId="744990AE" w14:textId="77A00E08" w:rsidR="00ED5235" w:rsidRPr="00ED5235" w:rsidRDefault="00ED5235" w:rsidP="00121CBF">
      <w:pPr>
        <w:spacing w:after="0" w:line="240" w:lineRule="auto"/>
        <w:rPr>
          <w:rFonts w:ascii="Tahoma" w:hAnsi="Tahoma" w:cs="Tahoma"/>
        </w:rPr>
      </w:pPr>
      <w:r>
        <w:rPr>
          <w:rFonts w:ascii="Tahoma" w:hAnsi="Tahoma" w:cs="Tahoma"/>
        </w:rPr>
        <w:t>There is resonance between these comments on pressure on time and other sou</w:t>
      </w:r>
      <w:r w:rsidR="007376D4">
        <w:rPr>
          <w:rFonts w:ascii="Tahoma" w:hAnsi="Tahoma" w:cs="Tahoma"/>
        </w:rPr>
        <w:t xml:space="preserve">rces of workforce information. </w:t>
      </w:r>
      <w:r>
        <w:rPr>
          <w:rFonts w:ascii="Tahoma" w:hAnsi="Tahoma" w:cs="Tahoma"/>
        </w:rPr>
        <w:t>For example, the SCVO Workforce Survey 2015</w:t>
      </w:r>
      <w:r>
        <w:rPr>
          <w:rStyle w:val="FootnoteReference"/>
          <w:rFonts w:ascii="Tahoma" w:hAnsi="Tahoma" w:cs="Tahoma"/>
        </w:rPr>
        <w:footnoteReference w:id="2"/>
      </w:r>
      <w:r>
        <w:rPr>
          <w:rFonts w:ascii="Tahoma" w:hAnsi="Tahoma" w:cs="Tahoma"/>
        </w:rPr>
        <w:t xml:space="preserve"> found that</w:t>
      </w:r>
      <w:r w:rsidRPr="00ED5235">
        <w:rPr>
          <w:rFonts w:ascii="Tahoma" w:hAnsi="Tahoma" w:cs="Tahoma"/>
        </w:rPr>
        <w:t xml:space="preserve"> 54% of respondents said the</w:t>
      </w:r>
      <w:r w:rsidR="00AA4E72">
        <w:rPr>
          <w:rFonts w:ascii="Tahoma" w:hAnsi="Tahoma" w:cs="Tahoma"/>
        </w:rPr>
        <w:t>y</w:t>
      </w:r>
      <w:r w:rsidRPr="00ED5235">
        <w:rPr>
          <w:rFonts w:ascii="Tahoma" w:hAnsi="Tahoma" w:cs="Tahoma"/>
        </w:rPr>
        <w:t xml:space="preserve"> felt overstretched at work half the time or more.</w:t>
      </w:r>
    </w:p>
    <w:p w14:paraId="45C56D81" w14:textId="77777777" w:rsidR="00BB4A72" w:rsidRDefault="00BB4A72" w:rsidP="00121CBF">
      <w:pPr>
        <w:spacing w:after="0" w:line="240" w:lineRule="auto"/>
        <w:rPr>
          <w:rFonts w:ascii="Tahoma" w:hAnsi="Tahoma" w:cs="Tahoma"/>
        </w:rPr>
      </w:pPr>
      <w:r>
        <w:rPr>
          <w:rFonts w:ascii="Tahoma" w:hAnsi="Tahoma" w:cs="Tahoma"/>
        </w:rPr>
        <w:t xml:space="preserve"> </w:t>
      </w:r>
    </w:p>
    <w:p w14:paraId="5BB5EDB5" w14:textId="4206B99E" w:rsidR="00ED776F" w:rsidRPr="00BB4A72" w:rsidRDefault="00381937" w:rsidP="00121CBF">
      <w:pPr>
        <w:spacing w:after="0" w:line="240" w:lineRule="auto"/>
        <w:rPr>
          <w:rFonts w:ascii="Tahoma" w:hAnsi="Tahoma" w:cs="Tahoma"/>
        </w:rPr>
      </w:pPr>
      <w:r>
        <w:rPr>
          <w:rFonts w:ascii="Tahoma" w:hAnsi="Tahoma" w:cs="Tahoma"/>
          <w:b/>
        </w:rPr>
        <w:t>Question 4</w:t>
      </w:r>
      <w:r w:rsidR="00D82687" w:rsidRPr="000D1BA2">
        <w:rPr>
          <w:rFonts w:ascii="Tahoma" w:hAnsi="Tahoma" w:cs="Tahoma"/>
          <w:b/>
        </w:rPr>
        <w:t>:</w:t>
      </w:r>
      <w:r w:rsidR="00ED776F" w:rsidRPr="000D1BA2">
        <w:rPr>
          <w:rFonts w:ascii="Tahoma" w:hAnsi="Tahoma" w:cs="Tahoma"/>
          <w:b/>
        </w:rPr>
        <w:t xml:space="preserve"> </w:t>
      </w:r>
      <w:r w:rsidR="00795D65" w:rsidRPr="000D1BA2">
        <w:rPr>
          <w:rFonts w:ascii="Tahoma" w:hAnsi="Tahoma" w:cs="Tahoma"/>
          <w:b/>
        </w:rPr>
        <w:t>‘</w:t>
      </w:r>
      <w:r w:rsidR="00ED776F" w:rsidRPr="000D1BA2">
        <w:rPr>
          <w:rFonts w:ascii="Tahoma" w:hAnsi="Tahoma" w:cs="Tahoma"/>
          <w:b/>
        </w:rPr>
        <w:t>Would you recommend your workplace as a good place to work?</w:t>
      </w:r>
      <w:r w:rsidR="00795D65" w:rsidRPr="000D1BA2">
        <w:rPr>
          <w:rFonts w:ascii="Tahoma" w:hAnsi="Tahoma" w:cs="Tahoma"/>
          <w:b/>
        </w:rPr>
        <w:t>’</w:t>
      </w:r>
    </w:p>
    <w:p w14:paraId="6D6D23C0" w14:textId="77777777" w:rsidR="007C5243" w:rsidRDefault="00E14843" w:rsidP="00121CBF">
      <w:pPr>
        <w:spacing w:after="0" w:line="240" w:lineRule="auto"/>
        <w:rPr>
          <w:rFonts w:ascii="Tahoma" w:hAnsi="Tahoma" w:cs="Tahoma"/>
          <w:b/>
        </w:rPr>
      </w:pPr>
      <w:r w:rsidRPr="000D1BA2">
        <w:rPr>
          <w:rFonts w:ascii="Tahoma" w:hAnsi="Tahoma" w:cs="Tahoma"/>
          <w:noProof/>
          <w:lang w:eastAsia="en-GB"/>
        </w:rPr>
        <w:drawing>
          <wp:anchor distT="0" distB="0" distL="114300" distR="114300" simplePos="0" relativeHeight="251674624" behindDoc="1" locked="0" layoutInCell="1" allowOverlap="1" wp14:anchorId="24AE3613" wp14:editId="4A5D4713">
            <wp:simplePos x="0" y="0"/>
            <wp:positionH relativeFrom="column">
              <wp:posOffset>3101340</wp:posOffset>
            </wp:positionH>
            <wp:positionV relativeFrom="paragraph">
              <wp:posOffset>334010</wp:posOffset>
            </wp:positionV>
            <wp:extent cx="2834640" cy="2293620"/>
            <wp:effectExtent l="0" t="0" r="3810" b="11430"/>
            <wp:wrapTight wrapText="bothSides">
              <wp:wrapPolygon edited="0">
                <wp:start x="0" y="0"/>
                <wp:lineTo x="0" y="21528"/>
                <wp:lineTo x="21484" y="21528"/>
                <wp:lineTo x="21484" y="0"/>
                <wp:lineTo x="0" y="0"/>
              </wp:wrapPolygon>
            </wp:wrapTight>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7C5243" w:rsidRPr="000D1BA2">
        <w:rPr>
          <w:rFonts w:ascii="Tahoma" w:hAnsi="Tahoma" w:cs="Tahoma"/>
          <w:noProof/>
          <w:lang w:eastAsia="en-GB"/>
        </w:rPr>
        <w:drawing>
          <wp:anchor distT="0" distB="0" distL="114300" distR="114300" simplePos="0" relativeHeight="251672576" behindDoc="1" locked="0" layoutInCell="1" allowOverlap="1" wp14:anchorId="777C8B60" wp14:editId="7FFBDC28">
            <wp:simplePos x="0" y="0"/>
            <wp:positionH relativeFrom="column">
              <wp:posOffset>0</wp:posOffset>
            </wp:positionH>
            <wp:positionV relativeFrom="paragraph">
              <wp:posOffset>334010</wp:posOffset>
            </wp:positionV>
            <wp:extent cx="2773680" cy="2255520"/>
            <wp:effectExtent l="0" t="0" r="7620" b="11430"/>
            <wp:wrapTight wrapText="bothSides">
              <wp:wrapPolygon edited="0">
                <wp:start x="0" y="0"/>
                <wp:lineTo x="0" y="21527"/>
                <wp:lineTo x="21511" y="21527"/>
                <wp:lineTo x="21511" y="0"/>
                <wp:lineTo x="0" y="0"/>
              </wp:wrapPolygon>
            </wp:wrapTight>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14:paraId="0F016547" w14:textId="504F2214" w:rsidR="00AA46D8" w:rsidRPr="00C06119" w:rsidRDefault="00C06119" w:rsidP="00121CBF">
      <w:pPr>
        <w:spacing w:after="0" w:line="240" w:lineRule="auto"/>
        <w:rPr>
          <w:rFonts w:ascii="Tahoma" w:hAnsi="Tahoma" w:cs="Tahoma"/>
        </w:rPr>
      </w:pPr>
      <w:r w:rsidRPr="00C06119">
        <w:rPr>
          <w:rFonts w:ascii="Tahoma" w:hAnsi="Tahoma" w:cs="Tahoma"/>
        </w:rPr>
        <w:t xml:space="preserve">There were some reservations about asking this question because there could be many reasons why someone might </w:t>
      </w:r>
      <w:r w:rsidR="007376D4">
        <w:rPr>
          <w:rFonts w:ascii="Tahoma" w:hAnsi="Tahoma" w:cs="Tahoma"/>
        </w:rPr>
        <w:t xml:space="preserve">or might not </w:t>
      </w:r>
      <w:r w:rsidRPr="00C06119">
        <w:rPr>
          <w:rFonts w:ascii="Tahoma" w:hAnsi="Tahoma" w:cs="Tahoma"/>
        </w:rPr>
        <w:t>recommend their place of work. However, it can still be seen as an indicator of satisfaction within the workplace and sector in general.</w:t>
      </w:r>
    </w:p>
    <w:p w14:paraId="7668CD56" w14:textId="77777777" w:rsidR="000B362D" w:rsidRDefault="000B362D" w:rsidP="00090A72">
      <w:pPr>
        <w:spacing w:after="0" w:line="240" w:lineRule="auto"/>
        <w:rPr>
          <w:rFonts w:ascii="Tahoma" w:hAnsi="Tahoma" w:cs="Tahoma"/>
          <w:b/>
        </w:rPr>
      </w:pPr>
    </w:p>
    <w:p w14:paraId="63BE13D4" w14:textId="77777777" w:rsidR="0090650C" w:rsidRDefault="00090A72" w:rsidP="00090A72">
      <w:pPr>
        <w:spacing w:after="0" w:line="240" w:lineRule="auto"/>
        <w:rPr>
          <w:rFonts w:ascii="Tahoma" w:hAnsi="Tahoma" w:cs="Tahoma"/>
          <w:b/>
        </w:rPr>
      </w:pPr>
      <w:r>
        <w:rPr>
          <w:rFonts w:ascii="Tahoma" w:hAnsi="Tahoma" w:cs="Tahoma"/>
          <w:b/>
        </w:rPr>
        <w:t>Summary</w:t>
      </w:r>
    </w:p>
    <w:p w14:paraId="0E0B8E2D" w14:textId="77777777" w:rsidR="00090A72" w:rsidRDefault="00090A72" w:rsidP="00090A72">
      <w:pPr>
        <w:spacing w:after="0" w:line="240" w:lineRule="auto"/>
        <w:rPr>
          <w:rFonts w:ascii="Tahoma" w:hAnsi="Tahoma" w:cs="Tahoma"/>
          <w:b/>
        </w:rPr>
      </w:pPr>
    </w:p>
    <w:p w14:paraId="2BD62C03" w14:textId="45FBE1A8" w:rsidR="00036C7F" w:rsidRDefault="0090650C" w:rsidP="00F25D51">
      <w:pPr>
        <w:spacing w:after="0" w:line="240" w:lineRule="auto"/>
        <w:rPr>
          <w:rFonts w:ascii="Tahoma" w:hAnsi="Tahoma" w:cs="Tahoma"/>
        </w:rPr>
      </w:pPr>
      <w:r>
        <w:rPr>
          <w:rFonts w:ascii="Tahoma" w:hAnsi="Tahoma" w:cs="Tahoma"/>
        </w:rPr>
        <w:t xml:space="preserve">The main purpose of the survey was to help </w:t>
      </w:r>
      <w:r w:rsidR="001568F7">
        <w:rPr>
          <w:rFonts w:ascii="Tahoma" w:hAnsi="Tahoma" w:cs="Tahoma"/>
        </w:rPr>
        <w:t>provide a benchmark position of engagement in the voluntary and independent sector at the early stages of integration</w:t>
      </w:r>
      <w:r w:rsidR="005D1C7A">
        <w:rPr>
          <w:rFonts w:ascii="Tahoma" w:hAnsi="Tahoma" w:cs="Tahoma"/>
        </w:rPr>
        <w:t xml:space="preserve"> so that this can be seen</w:t>
      </w:r>
      <w:r w:rsidR="001568F7">
        <w:rPr>
          <w:rFonts w:ascii="Tahoma" w:hAnsi="Tahoma" w:cs="Tahoma"/>
        </w:rPr>
        <w:t xml:space="preserve"> alongside similar information drawn from surveys conducted </w:t>
      </w:r>
      <w:r w:rsidR="005D1C7A">
        <w:rPr>
          <w:rFonts w:ascii="Tahoma" w:hAnsi="Tahoma" w:cs="Tahoma"/>
        </w:rPr>
        <w:t xml:space="preserve">by the </w:t>
      </w:r>
      <w:r w:rsidR="005151D1">
        <w:rPr>
          <w:rFonts w:ascii="Tahoma" w:hAnsi="Tahoma" w:cs="Tahoma"/>
        </w:rPr>
        <w:t xml:space="preserve">statutory partners. </w:t>
      </w:r>
      <w:r w:rsidR="007376D4">
        <w:rPr>
          <w:rFonts w:ascii="Tahoma" w:hAnsi="Tahoma" w:cs="Tahoma"/>
        </w:rPr>
        <w:t xml:space="preserve">The </w:t>
      </w:r>
      <w:proofErr w:type="gramStart"/>
      <w:r w:rsidR="007376D4">
        <w:rPr>
          <w:rFonts w:ascii="Tahoma" w:hAnsi="Tahoma" w:cs="Tahoma"/>
        </w:rPr>
        <w:t>limitations of the survey means</w:t>
      </w:r>
      <w:proofErr w:type="gramEnd"/>
      <w:r w:rsidR="007376D4">
        <w:rPr>
          <w:rFonts w:ascii="Tahoma" w:hAnsi="Tahoma" w:cs="Tahoma"/>
        </w:rPr>
        <w:t xml:space="preserve"> that it cannot be taken as a benchmark. However it does contribute to the overall understanding of workforce engagement and anyone seeking to develop a benchmark can learn from this report. This said, t</w:t>
      </w:r>
      <w:r w:rsidR="003A60AD">
        <w:rPr>
          <w:rFonts w:ascii="Tahoma" w:hAnsi="Tahoma" w:cs="Tahoma"/>
        </w:rPr>
        <w:t xml:space="preserve">he survey paints a generally positive picture, but with some obvious areas where engagement could be improved.  </w:t>
      </w:r>
    </w:p>
    <w:p w14:paraId="41EF724D" w14:textId="77777777" w:rsidR="00036C7F" w:rsidRDefault="00036C7F" w:rsidP="00F25D51">
      <w:pPr>
        <w:spacing w:after="0" w:line="240" w:lineRule="auto"/>
        <w:rPr>
          <w:rFonts w:ascii="Tahoma" w:hAnsi="Tahoma" w:cs="Tahoma"/>
        </w:rPr>
      </w:pPr>
    </w:p>
    <w:p w14:paraId="7E711F7E" w14:textId="6594BEBB" w:rsidR="00481B4D" w:rsidRDefault="005151D1" w:rsidP="00F25D51">
      <w:pPr>
        <w:spacing w:after="0" w:line="240" w:lineRule="auto"/>
        <w:rPr>
          <w:rFonts w:ascii="Tahoma" w:hAnsi="Tahoma" w:cs="Tahoma"/>
        </w:rPr>
      </w:pPr>
      <w:r w:rsidRPr="005151D1">
        <w:rPr>
          <w:rFonts w:ascii="Tahoma" w:hAnsi="Tahoma" w:cs="Tahoma"/>
        </w:rPr>
        <w:t xml:space="preserve">Meeting the challenge of involving </w:t>
      </w:r>
      <w:proofErr w:type="gramStart"/>
      <w:r w:rsidRPr="005151D1">
        <w:rPr>
          <w:rFonts w:ascii="Tahoma" w:hAnsi="Tahoma" w:cs="Tahoma"/>
        </w:rPr>
        <w:t>all of the</w:t>
      </w:r>
      <w:proofErr w:type="gramEnd"/>
      <w:r w:rsidRPr="005151D1">
        <w:rPr>
          <w:rFonts w:ascii="Tahoma" w:hAnsi="Tahoma" w:cs="Tahoma"/>
        </w:rPr>
        <w:t xml:space="preserve"> workforce in the running of their service/organisation is one such area. </w:t>
      </w:r>
      <w:r w:rsidR="00EB6294" w:rsidRPr="005151D1">
        <w:rPr>
          <w:rFonts w:ascii="Tahoma" w:hAnsi="Tahoma" w:cs="Tahoma"/>
        </w:rPr>
        <w:t xml:space="preserve">This process of consultation and information sharing is </w:t>
      </w:r>
      <w:r w:rsidR="003D0A8C" w:rsidRPr="005151D1">
        <w:rPr>
          <w:rFonts w:ascii="Tahoma" w:hAnsi="Tahoma" w:cs="Tahoma"/>
        </w:rPr>
        <w:t>of paramount importance i</w:t>
      </w:r>
      <w:r w:rsidR="00481B4D">
        <w:rPr>
          <w:rFonts w:ascii="Tahoma" w:hAnsi="Tahoma" w:cs="Tahoma"/>
        </w:rPr>
        <w:t>f Outcome 8 is to be achieved. This survey has been conducted at a time where there</w:t>
      </w:r>
      <w:r w:rsidR="00452BBA" w:rsidRPr="005151D1">
        <w:rPr>
          <w:rFonts w:ascii="Tahoma" w:hAnsi="Tahoma" w:cs="Tahoma"/>
        </w:rPr>
        <w:t xml:space="preserve"> is growing recognition of the need to maximise the potential of front line social care workers</w:t>
      </w:r>
      <w:r w:rsidR="00481B4D">
        <w:rPr>
          <w:rFonts w:ascii="Tahoma" w:hAnsi="Tahoma" w:cs="Tahoma"/>
        </w:rPr>
        <w:t>. In isolation</w:t>
      </w:r>
      <w:r w:rsidR="00B150D1">
        <w:rPr>
          <w:rFonts w:ascii="Tahoma" w:hAnsi="Tahoma" w:cs="Tahoma"/>
        </w:rPr>
        <w:t>,</w:t>
      </w:r>
      <w:r w:rsidR="00481B4D">
        <w:rPr>
          <w:rFonts w:ascii="Tahoma" w:hAnsi="Tahoma" w:cs="Tahoma"/>
        </w:rPr>
        <w:t xml:space="preserve"> the results can be challenged in terms of statistical validity.  However when seen alongside, for example, the</w:t>
      </w:r>
      <w:r w:rsidR="000B362D" w:rsidRPr="005151D1">
        <w:rPr>
          <w:rFonts w:ascii="Tahoma" w:hAnsi="Tahoma" w:cs="Tahoma"/>
        </w:rPr>
        <w:t xml:space="preserve"> report</w:t>
      </w:r>
      <w:r w:rsidRPr="005151D1">
        <w:rPr>
          <w:rFonts w:ascii="Tahoma" w:hAnsi="Tahoma" w:cs="Tahoma"/>
        </w:rPr>
        <w:t xml:space="preserve"> based on discussion with</w:t>
      </w:r>
      <w:r w:rsidR="00C31000">
        <w:rPr>
          <w:rFonts w:ascii="Tahoma" w:hAnsi="Tahoma" w:cs="Tahoma"/>
        </w:rPr>
        <w:t xml:space="preserve"> </w:t>
      </w:r>
      <w:r w:rsidRPr="005151D1">
        <w:rPr>
          <w:rFonts w:ascii="Tahoma" w:hAnsi="Tahoma" w:cs="Tahoma"/>
        </w:rPr>
        <w:t>the recently formed Support Worker Reference group</w:t>
      </w:r>
      <w:r w:rsidRPr="005151D1">
        <w:rPr>
          <w:rStyle w:val="FootnoteReference"/>
          <w:rFonts w:ascii="Tahoma" w:hAnsi="Tahoma" w:cs="Tahoma"/>
        </w:rPr>
        <w:footnoteReference w:id="3"/>
      </w:r>
      <w:r w:rsidR="00481B4D">
        <w:rPr>
          <w:rFonts w:ascii="Tahoma" w:hAnsi="Tahoma" w:cs="Tahoma"/>
        </w:rPr>
        <w:t>, one can see many common themes and comments reflected.</w:t>
      </w:r>
      <w:r w:rsidR="00AC25F1">
        <w:rPr>
          <w:rFonts w:ascii="Tahoma" w:hAnsi="Tahoma" w:cs="Tahoma"/>
        </w:rPr>
        <w:t xml:space="preserve"> Furthermore, the results have resonance with other workforce issues affecting the independent and voluntary sectors. The difficulties of recruiting and retaining people to work in social care have been highlighted in reports</w:t>
      </w:r>
      <w:r w:rsidR="00AC25F1">
        <w:rPr>
          <w:rStyle w:val="FootnoteReference"/>
          <w:rFonts w:ascii="Tahoma" w:hAnsi="Tahoma" w:cs="Tahoma"/>
        </w:rPr>
        <w:footnoteReference w:id="4"/>
      </w:r>
      <w:r w:rsidR="00AC25F1">
        <w:rPr>
          <w:rFonts w:ascii="Tahoma" w:hAnsi="Tahoma" w:cs="Tahoma"/>
        </w:rPr>
        <w:t xml:space="preserve"> generated by both sectors recently.  Understanding the extent to which the additional pressures of staff shortages contribute to some saying they would not recommend their place of work</w:t>
      </w:r>
      <w:r w:rsidR="00B150D1">
        <w:rPr>
          <w:rFonts w:ascii="Tahoma" w:hAnsi="Tahoma" w:cs="Tahoma"/>
        </w:rPr>
        <w:t>,</w:t>
      </w:r>
      <w:r w:rsidR="00AC25F1">
        <w:rPr>
          <w:rFonts w:ascii="Tahoma" w:hAnsi="Tahoma" w:cs="Tahoma"/>
        </w:rPr>
        <w:t xml:space="preserve"> or the degree to which having excellent engagement practice helps retain staff cannot be determined from this survey.  However</w:t>
      </w:r>
      <w:r w:rsidR="00B150D1">
        <w:rPr>
          <w:rFonts w:ascii="Tahoma" w:hAnsi="Tahoma" w:cs="Tahoma"/>
        </w:rPr>
        <w:t>,</w:t>
      </w:r>
      <w:r w:rsidR="00AC25F1">
        <w:rPr>
          <w:rFonts w:ascii="Tahoma" w:hAnsi="Tahoma" w:cs="Tahoma"/>
        </w:rPr>
        <w:t xml:space="preserve"> it is </w:t>
      </w:r>
      <w:r w:rsidR="00766955">
        <w:rPr>
          <w:rFonts w:ascii="Tahoma" w:hAnsi="Tahoma" w:cs="Tahoma"/>
        </w:rPr>
        <w:t>clear</w:t>
      </w:r>
      <w:r w:rsidR="00AC25F1">
        <w:rPr>
          <w:rFonts w:ascii="Tahoma" w:hAnsi="Tahoma" w:cs="Tahoma"/>
        </w:rPr>
        <w:t xml:space="preserve"> that workforce engagement is a factor whichever way you look at it and </w:t>
      </w:r>
      <w:r w:rsidR="00766955">
        <w:rPr>
          <w:rFonts w:ascii="Tahoma" w:hAnsi="Tahoma" w:cs="Tahoma"/>
        </w:rPr>
        <w:t>so it is hoped that this survey contributes to the picture that is emerging of workforce engagement in Scotland.</w:t>
      </w:r>
    </w:p>
    <w:p w14:paraId="44D4D489" w14:textId="77777777" w:rsidR="00481B4D" w:rsidRDefault="00481B4D" w:rsidP="00F25D51">
      <w:pPr>
        <w:spacing w:after="0" w:line="240" w:lineRule="auto"/>
        <w:rPr>
          <w:rFonts w:ascii="Tahoma" w:hAnsi="Tahoma" w:cs="Tahoma"/>
        </w:rPr>
      </w:pPr>
    </w:p>
    <w:p w14:paraId="2291B763" w14:textId="54D22580" w:rsidR="003A60AD" w:rsidRDefault="003A60AD" w:rsidP="00F25D51">
      <w:pPr>
        <w:spacing w:after="0" w:line="240" w:lineRule="auto"/>
        <w:rPr>
          <w:rFonts w:ascii="Tahoma" w:hAnsi="Tahoma" w:cs="Tahoma"/>
        </w:rPr>
      </w:pPr>
      <w:r>
        <w:rPr>
          <w:rFonts w:ascii="Tahoma" w:hAnsi="Tahoma" w:cs="Tahoma"/>
        </w:rPr>
        <w:t>It is debatable whether an engaged workforce will be an outcome of integration, but rather, can be seen as an input. In other words, having a more engaged workforce will more likely lead to the other integration outcomes and better outcomes for the workforce and supported people in general.</w:t>
      </w:r>
    </w:p>
    <w:p w14:paraId="4B351573" w14:textId="77777777" w:rsidR="00DE02EC" w:rsidRDefault="00DE02EC" w:rsidP="00F25D51">
      <w:pPr>
        <w:spacing w:after="0" w:line="240" w:lineRule="auto"/>
        <w:rPr>
          <w:rFonts w:ascii="Tahoma" w:hAnsi="Tahoma" w:cs="Tahoma"/>
        </w:rPr>
      </w:pPr>
    </w:p>
    <w:p w14:paraId="4E84B75D" w14:textId="77777777" w:rsidR="00554431" w:rsidRDefault="003A60AD" w:rsidP="00F25D51">
      <w:pPr>
        <w:spacing w:after="0" w:line="240" w:lineRule="auto"/>
        <w:rPr>
          <w:rFonts w:ascii="Tahoma" w:hAnsi="Tahoma" w:cs="Tahoma"/>
        </w:rPr>
      </w:pPr>
      <w:r>
        <w:rPr>
          <w:rFonts w:ascii="Tahoma" w:hAnsi="Tahoma" w:cs="Tahoma"/>
        </w:rPr>
        <w:t>T</w:t>
      </w:r>
      <w:r w:rsidR="00090A72">
        <w:rPr>
          <w:rFonts w:ascii="Tahoma" w:hAnsi="Tahoma" w:cs="Tahoma"/>
        </w:rPr>
        <w:t>his survey may be help</w:t>
      </w:r>
      <w:r>
        <w:rPr>
          <w:rFonts w:ascii="Tahoma" w:hAnsi="Tahoma" w:cs="Tahoma"/>
        </w:rPr>
        <w:t xml:space="preserve">ful, therefore, </w:t>
      </w:r>
      <w:r w:rsidR="00090A72">
        <w:rPr>
          <w:rFonts w:ascii="Tahoma" w:hAnsi="Tahoma" w:cs="Tahoma"/>
        </w:rPr>
        <w:t>to p</w:t>
      </w:r>
      <w:r w:rsidR="00DE02EC">
        <w:rPr>
          <w:rFonts w:ascii="Tahoma" w:hAnsi="Tahoma" w:cs="Tahoma"/>
        </w:rPr>
        <w:t>roviders keen to develop their</w:t>
      </w:r>
      <w:r w:rsidR="005D1C7A">
        <w:rPr>
          <w:rFonts w:ascii="Tahoma" w:hAnsi="Tahoma" w:cs="Tahoma"/>
        </w:rPr>
        <w:t xml:space="preserve"> own</w:t>
      </w:r>
      <w:r w:rsidR="00DE02EC">
        <w:rPr>
          <w:rFonts w:ascii="Tahoma" w:hAnsi="Tahoma" w:cs="Tahoma"/>
        </w:rPr>
        <w:t xml:space="preserve"> engagement </w:t>
      </w:r>
      <w:r w:rsidR="00090A72">
        <w:rPr>
          <w:rFonts w:ascii="Tahoma" w:hAnsi="Tahoma" w:cs="Tahoma"/>
        </w:rPr>
        <w:t>strategies</w:t>
      </w:r>
      <w:r w:rsidR="0060774B">
        <w:rPr>
          <w:rFonts w:ascii="Tahoma" w:hAnsi="Tahoma" w:cs="Tahoma"/>
        </w:rPr>
        <w:t xml:space="preserve">. This could be by using or adapting the questions for their own surveys or consultation processes. Organisations could also consider </w:t>
      </w:r>
      <w:r w:rsidR="00090A72">
        <w:rPr>
          <w:rFonts w:ascii="Tahoma" w:hAnsi="Tahoma" w:cs="Tahoma"/>
        </w:rPr>
        <w:t xml:space="preserve">where they sit </w:t>
      </w:r>
      <w:r w:rsidR="0060774B">
        <w:rPr>
          <w:rFonts w:ascii="Tahoma" w:hAnsi="Tahoma" w:cs="Tahoma"/>
        </w:rPr>
        <w:t xml:space="preserve">relative to this general picture </w:t>
      </w:r>
      <w:r w:rsidR="00090A72">
        <w:rPr>
          <w:rFonts w:ascii="Tahoma" w:hAnsi="Tahoma" w:cs="Tahoma"/>
        </w:rPr>
        <w:t>in terms of invo</w:t>
      </w:r>
      <w:r w:rsidR="0060774B">
        <w:rPr>
          <w:rFonts w:ascii="Tahoma" w:hAnsi="Tahoma" w:cs="Tahoma"/>
        </w:rPr>
        <w:t>lvement of staff at all levels. The connection between a sense of value and well-developed relationships with external partners could be capitalised upon in organisations</w:t>
      </w:r>
      <w:r>
        <w:rPr>
          <w:rFonts w:ascii="Tahoma" w:hAnsi="Tahoma" w:cs="Tahoma"/>
        </w:rPr>
        <w:t xml:space="preserve"> where these relationships</w:t>
      </w:r>
      <w:r w:rsidR="0060774B">
        <w:rPr>
          <w:rFonts w:ascii="Tahoma" w:hAnsi="Tahoma" w:cs="Tahoma"/>
        </w:rPr>
        <w:t xml:space="preserve"> exist and, where they don’t’</w:t>
      </w:r>
      <w:r>
        <w:rPr>
          <w:rFonts w:ascii="Tahoma" w:hAnsi="Tahoma" w:cs="Tahoma"/>
        </w:rPr>
        <w:t>,</w:t>
      </w:r>
      <w:r w:rsidR="0060774B">
        <w:rPr>
          <w:rFonts w:ascii="Tahoma" w:hAnsi="Tahoma" w:cs="Tahoma"/>
        </w:rPr>
        <w:t xml:space="preserve"> </w:t>
      </w:r>
      <w:r>
        <w:rPr>
          <w:rFonts w:ascii="Tahoma" w:hAnsi="Tahoma" w:cs="Tahoma"/>
        </w:rPr>
        <w:t>the active promotion externally of ‘what our organisation does’ could form part of its staff engagement strategy.</w:t>
      </w:r>
    </w:p>
    <w:p w14:paraId="547B5BC7" w14:textId="77777777" w:rsidR="00554431" w:rsidRDefault="00554431" w:rsidP="00F25D51">
      <w:pPr>
        <w:spacing w:after="0" w:line="240" w:lineRule="auto"/>
        <w:rPr>
          <w:rFonts w:ascii="Tahoma" w:hAnsi="Tahoma" w:cs="Tahoma"/>
        </w:rPr>
      </w:pPr>
    </w:p>
    <w:p w14:paraId="1B7CB7D6" w14:textId="77777777" w:rsidR="00554431" w:rsidRDefault="00554431" w:rsidP="00F25D51">
      <w:pPr>
        <w:spacing w:after="0" w:line="240" w:lineRule="auto"/>
        <w:rPr>
          <w:rFonts w:ascii="Tahoma" w:hAnsi="Tahoma" w:cs="Tahoma"/>
        </w:rPr>
      </w:pPr>
      <w:r>
        <w:rPr>
          <w:rFonts w:ascii="Tahoma" w:hAnsi="Tahoma" w:cs="Tahoma"/>
        </w:rPr>
        <w:t>A great deal was learned from the process of conducting the survey. The recommendations below reflect this learning and will hopefully influence any future attempts to measure engagement.</w:t>
      </w:r>
    </w:p>
    <w:p w14:paraId="1AA55EB7" w14:textId="77777777" w:rsidR="00554431" w:rsidRDefault="00554431" w:rsidP="00F25D51">
      <w:pPr>
        <w:spacing w:after="0" w:line="240" w:lineRule="auto"/>
        <w:rPr>
          <w:rFonts w:ascii="Tahoma" w:hAnsi="Tahoma" w:cs="Tahoma"/>
        </w:rPr>
      </w:pPr>
    </w:p>
    <w:p w14:paraId="15B7AA58" w14:textId="77777777" w:rsidR="000C4926" w:rsidRDefault="000C4926" w:rsidP="00F25D51">
      <w:pPr>
        <w:spacing w:after="0" w:line="240" w:lineRule="auto"/>
        <w:rPr>
          <w:rFonts w:ascii="Tahoma" w:hAnsi="Tahoma" w:cs="Tahoma"/>
          <w:b/>
        </w:rPr>
      </w:pPr>
      <w:r w:rsidRPr="000C4926">
        <w:rPr>
          <w:rFonts w:ascii="Tahoma" w:hAnsi="Tahoma" w:cs="Tahoma"/>
          <w:b/>
        </w:rPr>
        <w:t>Recommendations</w:t>
      </w:r>
    </w:p>
    <w:p w14:paraId="420EBF38" w14:textId="77777777" w:rsidR="00437205" w:rsidRDefault="00437205" w:rsidP="00F25D51">
      <w:pPr>
        <w:spacing w:after="0" w:line="240" w:lineRule="auto"/>
        <w:rPr>
          <w:rFonts w:ascii="Tahoma" w:hAnsi="Tahoma" w:cs="Tahoma"/>
          <w:b/>
        </w:rPr>
      </w:pPr>
    </w:p>
    <w:p w14:paraId="4ACAAB99" w14:textId="02817397" w:rsidR="00437205" w:rsidRDefault="00437205" w:rsidP="00F25D51">
      <w:pPr>
        <w:spacing w:after="0" w:line="240" w:lineRule="auto"/>
        <w:rPr>
          <w:rFonts w:ascii="Tahoma" w:hAnsi="Tahoma" w:cs="Tahoma"/>
        </w:rPr>
      </w:pPr>
      <w:r>
        <w:rPr>
          <w:rFonts w:ascii="Tahoma" w:hAnsi="Tahoma" w:cs="Tahoma"/>
        </w:rPr>
        <w:t>Workplace satisfaction is an over simplistic measure of engagement</w:t>
      </w:r>
      <w:r w:rsidR="000D2622">
        <w:rPr>
          <w:rFonts w:ascii="Tahoma" w:hAnsi="Tahoma" w:cs="Tahoma"/>
        </w:rPr>
        <w:t xml:space="preserve">. </w:t>
      </w:r>
      <w:r>
        <w:rPr>
          <w:rFonts w:ascii="Tahoma" w:hAnsi="Tahoma" w:cs="Tahoma"/>
        </w:rPr>
        <w:t>The Scottish Government should consider</w:t>
      </w:r>
      <w:r w:rsidR="003F712B">
        <w:rPr>
          <w:rFonts w:ascii="Tahoma" w:hAnsi="Tahoma" w:cs="Tahoma"/>
        </w:rPr>
        <w:t xml:space="preserve"> using the learning from </w:t>
      </w:r>
      <w:r w:rsidR="00036C7F" w:rsidRPr="004D4EB2">
        <w:rPr>
          <w:rFonts w:ascii="Tahoma" w:hAnsi="Tahoma" w:cs="Tahoma"/>
        </w:rPr>
        <w:t>this</w:t>
      </w:r>
      <w:r w:rsidR="003F712B">
        <w:rPr>
          <w:rFonts w:ascii="Tahoma" w:hAnsi="Tahoma" w:cs="Tahoma"/>
        </w:rPr>
        <w:t xml:space="preserve"> exercise to develop</w:t>
      </w:r>
      <w:r>
        <w:rPr>
          <w:rFonts w:ascii="Tahoma" w:hAnsi="Tahoma" w:cs="Tahoma"/>
        </w:rPr>
        <w:t xml:space="preserve"> a wider definition</w:t>
      </w:r>
      <w:r w:rsidR="003F712B">
        <w:rPr>
          <w:rFonts w:ascii="Tahoma" w:hAnsi="Tahoma" w:cs="Tahoma"/>
        </w:rPr>
        <w:t xml:space="preserve"> and more meaningful indicators of engagement</w:t>
      </w:r>
      <w:r>
        <w:rPr>
          <w:rFonts w:ascii="Tahoma" w:hAnsi="Tahoma" w:cs="Tahoma"/>
        </w:rPr>
        <w:t>, in the</w:t>
      </w:r>
      <w:r w:rsidR="003F712B">
        <w:rPr>
          <w:rFonts w:ascii="Tahoma" w:hAnsi="Tahoma" w:cs="Tahoma"/>
        </w:rPr>
        <w:t xml:space="preserve"> context of integration. For example, take</w:t>
      </w:r>
      <w:r>
        <w:rPr>
          <w:rFonts w:ascii="Tahoma" w:hAnsi="Tahoma" w:cs="Tahoma"/>
        </w:rPr>
        <w:t xml:space="preserve"> into account how </w:t>
      </w:r>
      <w:r w:rsidR="003F712B">
        <w:rPr>
          <w:rFonts w:ascii="Tahoma" w:hAnsi="Tahoma" w:cs="Tahoma"/>
        </w:rPr>
        <w:t>empowered people feel to promote personal outcomes.</w:t>
      </w:r>
    </w:p>
    <w:p w14:paraId="5C25E7C5" w14:textId="77777777" w:rsidR="003F712B" w:rsidRDefault="003F712B" w:rsidP="00F25D51">
      <w:pPr>
        <w:spacing w:after="0" w:line="240" w:lineRule="auto"/>
        <w:rPr>
          <w:rFonts w:ascii="Tahoma" w:hAnsi="Tahoma" w:cs="Tahoma"/>
        </w:rPr>
      </w:pPr>
    </w:p>
    <w:p w14:paraId="35394C94" w14:textId="77777777" w:rsidR="00437205" w:rsidRDefault="00437205" w:rsidP="00F25D51">
      <w:pPr>
        <w:spacing w:after="0" w:line="240" w:lineRule="auto"/>
        <w:rPr>
          <w:rFonts w:ascii="Tahoma" w:hAnsi="Tahoma" w:cs="Tahoma"/>
        </w:rPr>
      </w:pPr>
      <w:r>
        <w:rPr>
          <w:rFonts w:ascii="Tahoma" w:hAnsi="Tahoma" w:cs="Tahoma"/>
        </w:rPr>
        <w:t>The additional questions asked in this survey did yield interesting results which, if used by organisations could help them shape their own engagement strategies. However, when asking about how valued people feel by external partners, the question could have been more specific, i.e. naming which partners, so that the results can be better acted on. Similarly</w:t>
      </w:r>
      <w:r w:rsidR="000D2622">
        <w:rPr>
          <w:rFonts w:ascii="Tahoma" w:hAnsi="Tahoma" w:cs="Tahoma"/>
        </w:rPr>
        <w:t>,</w:t>
      </w:r>
      <w:r>
        <w:rPr>
          <w:rFonts w:ascii="Tahoma" w:hAnsi="Tahoma" w:cs="Tahoma"/>
        </w:rPr>
        <w:t xml:space="preserve"> the question on influence could have been split so that frontline workers could express the level of influence on their specific service and managers’ answers reflect their influence within the wider organisation.</w:t>
      </w:r>
    </w:p>
    <w:p w14:paraId="723BA5B3" w14:textId="77777777" w:rsidR="00437205" w:rsidRDefault="00437205" w:rsidP="00F25D51">
      <w:pPr>
        <w:spacing w:after="0" w:line="240" w:lineRule="auto"/>
        <w:rPr>
          <w:rFonts w:ascii="Tahoma" w:hAnsi="Tahoma" w:cs="Tahoma"/>
        </w:rPr>
      </w:pPr>
    </w:p>
    <w:p w14:paraId="7550BF5B" w14:textId="77777777" w:rsidR="00437205" w:rsidRDefault="00437205" w:rsidP="00F25D51">
      <w:pPr>
        <w:spacing w:after="0" w:line="240" w:lineRule="auto"/>
        <w:rPr>
          <w:rFonts w:ascii="Tahoma" w:hAnsi="Tahoma" w:cs="Tahoma"/>
        </w:rPr>
      </w:pPr>
      <w:r>
        <w:rPr>
          <w:rFonts w:ascii="Tahoma" w:hAnsi="Tahoma" w:cs="Tahoma"/>
        </w:rPr>
        <w:t xml:space="preserve">The difficulties created because there is no single means of surveying the whole workforce in the voluntary and independent sectors, in the way that is possible with the NHS and local </w:t>
      </w:r>
      <w:proofErr w:type="gramStart"/>
      <w:r>
        <w:rPr>
          <w:rFonts w:ascii="Tahoma" w:hAnsi="Tahoma" w:cs="Tahoma"/>
        </w:rPr>
        <w:t>authorities,</w:t>
      </w:r>
      <w:proofErr w:type="gramEnd"/>
      <w:r>
        <w:rPr>
          <w:rFonts w:ascii="Tahoma" w:hAnsi="Tahoma" w:cs="Tahoma"/>
        </w:rPr>
        <w:t xml:space="preserve"> will not go away. Consideration should therefore be given to moving away completely from trying to repeat this exercise, but move instead to encouraging providers to embed questions of engagement in their own surveys so that the results can be sampled.  The involvement of providers </w:t>
      </w:r>
      <w:r w:rsidR="000D2622">
        <w:rPr>
          <w:rFonts w:ascii="Tahoma" w:hAnsi="Tahoma" w:cs="Tahoma"/>
        </w:rPr>
        <w:t>in this way would encourage a greater sense of ownership of the results that is achieved by presenting results of a national survey.</w:t>
      </w:r>
      <w:r w:rsidR="003F712B">
        <w:rPr>
          <w:rFonts w:ascii="Tahoma" w:hAnsi="Tahoma" w:cs="Tahoma"/>
        </w:rPr>
        <w:t xml:space="preserve"> Furthermore the response rates are likely to be higher than was achieved through this survey.</w:t>
      </w:r>
    </w:p>
    <w:p w14:paraId="35CA05AA" w14:textId="77777777" w:rsidR="00437205" w:rsidRDefault="00437205" w:rsidP="00F25D51">
      <w:pPr>
        <w:spacing w:after="0" w:line="240" w:lineRule="auto"/>
        <w:rPr>
          <w:rFonts w:ascii="Tahoma" w:hAnsi="Tahoma" w:cs="Tahoma"/>
        </w:rPr>
      </w:pPr>
    </w:p>
    <w:p w14:paraId="22480B20" w14:textId="618B07CD" w:rsidR="00437205" w:rsidRDefault="00437205" w:rsidP="00F25D51">
      <w:pPr>
        <w:spacing w:after="0" w:line="240" w:lineRule="auto"/>
        <w:rPr>
          <w:rFonts w:ascii="Tahoma" w:hAnsi="Tahoma" w:cs="Tahoma"/>
        </w:rPr>
      </w:pPr>
      <w:r>
        <w:rPr>
          <w:rFonts w:ascii="Tahoma" w:hAnsi="Tahoma" w:cs="Tahoma"/>
        </w:rPr>
        <w:t>The NHS and Local Authority surveys should consider developing a more sophisticated approach to looking at engagement in the context of integration. The additional questions</w:t>
      </w:r>
      <w:r w:rsidR="000D2622">
        <w:rPr>
          <w:rFonts w:ascii="Tahoma" w:hAnsi="Tahoma" w:cs="Tahoma"/>
        </w:rPr>
        <w:t xml:space="preserve"> used</w:t>
      </w:r>
      <w:r>
        <w:rPr>
          <w:rFonts w:ascii="Tahoma" w:hAnsi="Tahoma" w:cs="Tahoma"/>
        </w:rPr>
        <w:t xml:space="preserve"> in this survey would make a good starting point for a discussion </w:t>
      </w:r>
      <w:r w:rsidR="00B150D1">
        <w:rPr>
          <w:rFonts w:ascii="Tahoma" w:hAnsi="Tahoma" w:cs="Tahoma"/>
        </w:rPr>
        <w:t>on creating a set of indicatiors</w:t>
      </w:r>
      <w:r>
        <w:rPr>
          <w:rFonts w:ascii="Tahoma" w:hAnsi="Tahoma" w:cs="Tahoma"/>
        </w:rPr>
        <w:t xml:space="preserve"> of engagement that go beyond basic workplace satisfaction. </w:t>
      </w:r>
    </w:p>
    <w:p w14:paraId="5596B5D1" w14:textId="77777777" w:rsidR="00B4449C" w:rsidRDefault="00B4449C" w:rsidP="00F25D51">
      <w:pPr>
        <w:spacing w:after="0" w:line="240" w:lineRule="auto"/>
        <w:rPr>
          <w:rFonts w:ascii="Tahoma" w:hAnsi="Tahoma" w:cs="Tahoma"/>
        </w:rPr>
      </w:pPr>
    </w:p>
    <w:p w14:paraId="11C9F084" w14:textId="40435A08" w:rsidR="00B4449C" w:rsidRPr="00B4449C" w:rsidRDefault="00951F6F" w:rsidP="00F25D51">
      <w:pPr>
        <w:spacing w:after="0" w:line="240" w:lineRule="auto"/>
        <w:rPr>
          <w:rFonts w:ascii="Tahoma" w:hAnsi="Tahoma" w:cs="Tahoma"/>
          <w:color w:val="FF0000"/>
        </w:rPr>
      </w:pPr>
      <w:r>
        <w:rPr>
          <w:rFonts w:ascii="Tahoma" w:hAnsi="Tahoma" w:cs="Tahoma"/>
        </w:rPr>
        <w:t>It is hoped that this report is seen as contributing to the Shared Vision and Strategy</w:t>
      </w:r>
      <w:r w:rsidRPr="00951F6F">
        <w:rPr>
          <w:rStyle w:val="FootnoteReference"/>
          <w:rFonts w:ascii="Tahoma" w:hAnsi="Tahoma" w:cs="Tahoma"/>
        </w:rPr>
        <w:footnoteReference w:id="5"/>
      </w:r>
      <w:r>
        <w:rPr>
          <w:rFonts w:ascii="Tahoma" w:hAnsi="Tahoma" w:cs="Tahoma"/>
        </w:rPr>
        <w:t xml:space="preserve"> for social services in Scotland. An action identified within the strategy under ‘Supporting the Workforce’ is to, ‘Review existing workforce surveys and, if considered useful, undertake a workforce survey across the sector to better understand key issues for staff. It is recommended that the Social Work Services Strategic Forum, which is responsible for maintaining an overview of the implementation of the strategy, takes account of the findings and other recommendations in this report when considering this action.</w:t>
      </w:r>
    </w:p>
    <w:p w14:paraId="0D0EBE73" w14:textId="77777777" w:rsidR="00481B4D" w:rsidRDefault="00481B4D" w:rsidP="00F25D51">
      <w:pPr>
        <w:spacing w:after="0" w:line="240" w:lineRule="auto"/>
        <w:rPr>
          <w:rFonts w:ascii="Tahoma" w:hAnsi="Tahoma" w:cs="Tahoma"/>
        </w:rPr>
      </w:pPr>
    </w:p>
    <w:p w14:paraId="030E607B" w14:textId="1835E669" w:rsidR="00C31000" w:rsidRDefault="00C31000" w:rsidP="00F25D51">
      <w:pPr>
        <w:spacing w:after="0" w:line="240" w:lineRule="auto"/>
        <w:rPr>
          <w:rFonts w:ascii="Tahoma" w:hAnsi="Tahoma" w:cs="Tahoma"/>
        </w:rPr>
      </w:pPr>
    </w:p>
    <w:sectPr w:rsidR="00C31000" w:rsidSect="00C06119">
      <w:footerReference w:type="default" r:id="rId2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CCC90" w14:textId="77777777" w:rsidR="006651EF" w:rsidRDefault="006651EF" w:rsidP="007A3D81">
      <w:pPr>
        <w:spacing w:after="0" w:line="240" w:lineRule="auto"/>
      </w:pPr>
      <w:r>
        <w:separator/>
      </w:r>
    </w:p>
  </w:endnote>
  <w:endnote w:type="continuationSeparator" w:id="0">
    <w:p w14:paraId="10E61388" w14:textId="77777777" w:rsidR="006651EF" w:rsidRDefault="006651EF" w:rsidP="007A3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827270"/>
      <w:docPartObj>
        <w:docPartGallery w:val="Page Numbers (Bottom of Page)"/>
        <w:docPartUnique/>
      </w:docPartObj>
    </w:sdtPr>
    <w:sdtEndPr>
      <w:rPr>
        <w:noProof/>
      </w:rPr>
    </w:sdtEndPr>
    <w:sdtContent>
      <w:p w14:paraId="2983EC1D" w14:textId="77777777" w:rsidR="001C1968" w:rsidRDefault="001C1968">
        <w:pPr>
          <w:pStyle w:val="Footer"/>
        </w:pPr>
        <w:r>
          <w:fldChar w:fldCharType="begin"/>
        </w:r>
        <w:r>
          <w:instrText xml:space="preserve"> PAGE   \* MERGEFORMAT </w:instrText>
        </w:r>
        <w:r>
          <w:fldChar w:fldCharType="separate"/>
        </w:r>
        <w:r w:rsidR="006E0FAB">
          <w:rPr>
            <w:noProof/>
          </w:rPr>
          <w:t>9</w:t>
        </w:r>
        <w:r>
          <w:rPr>
            <w:noProof/>
          </w:rPr>
          <w:fldChar w:fldCharType="end"/>
        </w:r>
      </w:p>
    </w:sdtContent>
  </w:sdt>
  <w:p w14:paraId="4505DC04" w14:textId="77777777" w:rsidR="001C1968" w:rsidRDefault="001C1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48A47" w14:textId="77777777" w:rsidR="006651EF" w:rsidRDefault="006651EF" w:rsidP="007A3D81">
      <w:pPr>
        <w:spacing w:after="0" w:line="240" w:lineRule="auto"/>
      </w:pPr>
      <w:r>
        <w:separator/>
      </w:r>
    </w:p>
  </w:footnote>
  <w:footnote w:type="continuationSeparator" w:id="0">
    <w:p w14:paraId="326FEE26" w14:textId="77777777" w:rsidR="006651EF" w:rsidRDefault="006651EF" w:rsidP="007A3D81">
      <w:pPr>
        <w:spacing w:after="0" w:line="240" w:lineRule="auto"/>
      </w:pPr>
      <w:r>
        <w:continuationSeparator/>
      </w:r>
    </w:p>
  </w:footnote>
  <w:footnote w:id="1">
    <w:p w14:paraId="1F46EF30" w14:textId="77777777" w:rsidR="00953264" w:rsidRDefault="001C1968">
      <w:pPr>
        <w:pStyle w:val="FootnoteText"/>
      </w:pPr>
      <w:r>
        <w:rPr>
          <w:rStyle w:val="FootnoteReference"/>
        </w:rPr>
        <w:footnoteRef/>
      </w:r>
      <w:r>
        <w:t xml:space="preserve"> </w:t>
      </w:r>
      <w:r w:rsidR="00EA2165">
        <w:t>Separate findings for voluntary and independent sectors can be found at:</w:t>
      </w:r>
    </w:p>
    <w:p w14:paraId="4FA6E65F" w14:textId="447D797B" w:rsidR="00953264" w:rsidRDefault="006651EF">
      <w:pPr>
        <w:pStyle w:val="FootnoteText"/>
      </w:pPr>
      <w:hyperlink r:id="rId1" w:history="1">
        <w:r w:rsidR="00953264">
          <w:rPr>
            <w:rStyle w:val="Hyperlink"/>
          </w:rPr>
          <w:t>CCPS Benchmarking Survey Report</w:t>
        </w:r>
      </w:hyperlink>
      <w:r w:rsidR="00953264">
        <w:t xml:space="preserve"> </w:t>
      </w:r>
      <w:r w:rsidR="00EA2165">
        <w:t>and</w:t>
      </w:r>
      <w:r w:rsidR="00953264">
        <w:t xml:space="preserve"> </w:t>
      </w:r>
      <w:hyperlink r:id="rId2" w:history="1">
        <w:r w:rsidR="00953264">
          <w:rPr>
            <w:rStyle w:val="Hyperlink"/>
          </w:rPr>
          <w:t>Scottish Care Benchmarking Survey News and Executive Summary</w:t>
        </w:r>
      </w:hyperlink>
      <w:r w:rsidR="00953264">
        <w:t xml:space="preserve">   </w:t>
      </w:r>
      <w:r w:rsidR="00953264">
        <w:rPr>
          <w:color w:val="1F497D"/>
          <w:sz w:val="22"/>
          <w:szCs w:val="22"/>
        </w:rPr>
        <w:t xml:space="preserve"> </w:t>
      </w:r>
    </w:p>
  </w:footnote>
  <w:footnote w:id="2">
    <w:p w14:paraId="2DB7AEAE" w14:textId="77777777" w:rsidR="00953264" w:rsidRDefault="001C1968">
      <w:pPr>
        <w:pStyle w:val="FootnoteText"/>
      </w:pPr>
      <w:r>
        <w:rPr>
          <w:rStyle w:val="FootnoteReference"/>
        </w:rPr>
        <w:footnoteRef/>
      </w:r>
      <w:r>
        <w:t xml:space="preserve"> A voluntary sector workforce survey conducted by Scottish Council for Voluntary Organisations</w:t>
      </w:r>
      <w:r w:rsidR="00953264">
        <w:t>:</w:t>
      </w:r>
    </w:p>
    <w:p w14:paraId="72655D1A" w14:textId="7AB50AC5" w:rsidR="001C1968" w:rsidRDefault="001C1968">
      <w:pPr>
        <w:pStyle w:val="FootnoteText"/>
      </w:pPr>
      <w:r>
        <w:t xml:space="preserve"> </w:t>
      </w:r>
      <w:hyperlink r:id="rId3" w:history="1">
        <w:r w:rsidR="00953264">
          <w:rPr>
            <w:rStyle w:val="Hyperlink"/>
          </w:rPr>
          <w:t>SCVO Workforce Survey 2015</w:t>
        </w:r>
      </w:hyperlink>
      <w:r>
        <w:t xml:space="preserve"> </w:t>
      </w:r>
    </w:p>
  </w:footnote>
  <w:footnote w:id="3">
    <w:p w14:paraId="5A49AEFE" w14:textId="75E95903" w:rsidR="001C1968" w:rsidRDefault="001C1968">
      <w:pPr>
        <w:pStyle w:val="FootnoteText"/>
      </w:pPr>
      <w:r>
        <w:rPr>
          <w:rStyle w:val="FootnoteReference"/>
        </w:rPr>
        <w:footnoteRef/>
      </w:r>
      <w:r>
        <w:t xml:space="preserve"> The Support Worker Reference Group is facilitated by S</w:t>
      </w:r>
      <w:r w:rsidR="00953264">
        <w:t>cottish Care with membership fro</w:t>
      </w:r>
      <w:r>
        <w:t xml:space="preserve">m both the Independent and Voluntary sectors. More information: </w:t>
      </w:r>
      <w:hyperlink r:id="rId4" w:history="1">
        <w:r w:rsidR="00953264">
          <w:rPr>
            <w:rStyle w:val="Hyperlink"/>
          </w:rPr>
          <w:t>Support Worker Reference Group Information and Report</w:t>
        </w:r>
      </w:hyperlink>
      <w:r>
        <w:t xml:space="preserve"> </w:t>
      </w:r>
    </w:p>
  </w:footnote>
  <w:footnote w:id="4">
    <w:p w14:paraId="516A0A5B" w14:textId="4AB203B4" w:rsidR="001C1968" w:rsidRDefault="001C1968">
      <w:pPr>
        <w:pStyle w:val="FootnoteText"/>
      </w:pPr>
      <w:r>
        <w:rPr>
          <w:rStyle w:val="FootnoteReference"/>
        </w:rPr>
        <w:footnoteRef/>
      </w:r>
      <w:r>
        <w:t xml:space="preserve"> Scottish Care Repo</w:t>
      </w:r>
      <w:r w:rsidR="00953264">
        <w:t>rt on recruitment and retention:</w:t>
      </w:r>
      <w:r>
        <w:t xml:space="preserve"> </w:t>
      </w:r>
      <w:hyperlink r:id="rId5" w:history="1">
        <w:r w:rsidR="00953264">
          <w:rPr>
            <w:rStyle w:val="Hyperlink"/>
          </w:rPr>
          <w:t xml:space="preserve">In the Front Line and </w:t>
        </w:r>
        <w:r w:rsidR="00C10856">
          <w:rPr>
            <w:rStyle w:val="Hyperlink"/>
          </w:rPr>
          <w:t>Supplementary</w:t>
        </w:r>
        <w:r w:rsidR="00953264">
          <w:rPr>
            <w:rStyle w:val="Hyperlink"/>
          </w:rPr>
          <w:t xml:space="preserve"> Report</w:t>
        </w:r>
      </w:hyperlink>
      <w:r>
        <w:t xml:space="preserve">  </w:t>
      </w:r>
      <w:r w:rsidR="00C10856">
        <w:t xml:space="preserve">and </w:t>
      </w:r>
      <w:r>
        <w:t xml:space="preserve">Report on Voluntary Sector Recruitment and Retention issues commissioned by Cornerstone: </w:t>
      </w:r>
      <w:hyperlink r:id="rId6" w:history="1">
        <w:r w:rsidR="00953264">
          <w:rPr>
            <w:rStyle w:val="Hyperlink"/>
          </w:rPr>
          <w:t>Cornerstone News and Link to Report</w:t>
        </w:r>
      </w:hyperlink>
    </w:p>
  </w:footnote>
  <w:footnote w:id="5">
    <w:p w14:paraId="6C0A369A" w14:textId="5D436223" w:rsidR="00951F6F" w:rsidRDefault="00951F6F">
      <w:pPr>
        <w:pStyle w:val="FootnoteText"/>
      </w:pPr>
      <w:r>
        <w:rPr>
          <w:rStyle w:val="FootnoteReference"/>
        </w:rPr>
        <w:footnoteRef/>
      </w:r>
      <w:r>
        <w:t xml:space="preserve"> Social Services in Scotland – a shared vision and strategy 2015-2020 available (online) from: </w:t>
      </w:r>
      <w:hyperlink r:id="rId7" w:history="1">
        <w:r w:rsidRPr="00CA7A1C">
          <w:rPr>
            <w:rStyle w:val="Hyperlink"/>
          </w:rPr>
          <w:t>http://www.gov.scot/Topics/People/social-services-workforce/SWSSF/visionandstrateg</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55436"/>
    <w:multiLevelType w:val="hybridMultilevel"/>
    <w:tmpl w:val="B6ECE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0179D3"/>
    <w:multiLevelType w:val="hybridMultilevel"/>
    <w:tmpl w:val="EAE2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8B3101"/>
    <w:multiLevelType w:val="hybridMultilevel"/>
    <w:tmpl w:val="61B26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323232"/>
    <w:multiLevelType w:val="hybridMultilevel"/>
    <w:tmpl w:val="ACB2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C1782F"/>
    <w:multiLevelType w:val="hybridMultilevel"/>
    <w:tmpl w:val="DA4AC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C774B1"/>
    <w:multiLevelType w:val="hybridMultilevel"/>
    <w:tmpl w:val="EBFA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0967DB"/>
    <w:multiLevelType w:val="hybridMultilevel"/>
    <w:tmpl w:val="2112FA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9347AD"/>
    <w:multiLevelType w:val="hybridMultilevel"/>
    <w:tmpl w:val="F7066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DB7437F"/>
    <w:multiLevelType w:val="hybridMultilevel"/>
    <w:tmpl w:val="4B7A0B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1"/>
  </w:num>
  <w:num w:numId="6">
    <w:abstractNumId w:val="3"/>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8F6"/>
    <w:rsid w:val="00000C67"/>
    <w:rsid w:val="000011CF"/>
    <w:rsid w:val="00001A6E"/>
    <w:rsid w:val="00002728"/>
    <w:rsid w:val="00003606"/>
    <w:rsid w:val="0000470F"/>
    <w:rsid w:val="000059C4"/>
    <w:rsid w:val="000062F1"/>
    <w:rsid w:val="00006408"/>
    <w:rsid w:val="0000663C"/>
    <w:rsid w:val="00006929"/>
    <w:rsid w:val="00006B27"/>
    <w:rsid w:val="00006DBB"/>
    <w:rsid w:val="000100E1"/>
    <w:rsid w:val="000102FC"/>
    <w:rsid w:val="000118B5"/>
    <w:rsid w:val="00012117"/>
    <w:rsid w:val="00013A94"/>
    <w:rsid w:val="00013F60"/>
    <w:rsid w:val="00014708"/>
    <w:rsid w:val="00014752"/>
    <w:rsid w:val="00014990"/>
    <w:rsid w:val="00014A04"/>
    <w:rsid w:val="000153C4"/>
    <w:rsid w:val="00015B7E"/>
    <w:rsid w:val="00016032"/>
    <w:rsid w:val="0001651E"/>
    <w:rsid w:val="0001683A"/>
    <w:rsid w:val="00016F4E"/>
    <w:rsid w:val="00017E49"/>
    <w:rsid w:val="00020460"/>
    <w:rsid w:val="0002051E"/>
    <w:rsid w:val="0002082D"/>
    <w:rsid w:val="00022FC4"/>
    <w:rsid w:val="000234F8"/>
    <w:rsid w:val="00023D76"/>
    <w:rsid w:val="00024087"/>
    <w:rsid w:val="000241DD"/>
    <w:rsid w:val="0002449C"/>
    <w:rsid w:val="00024667"/>
    <w:rsid w:val="00024796"/>
    <w:rsid w:val="0002599F"/>
    <w:rsid w:val="00026551"/>
    <w:rsid w:val="00026C0E"/>
    <w:rsid w:val="0002749B"/>
    <w:rsid w:val="000278DB"/>
    <w:rsid w:val="00027A29"/>
    <w:rsid w:val="00027B7C"/>
    <w:rsid w:val="00027D8B"/>
    <w:rsid w:val="0003059B"/>
    <w:rsid w:val="000319C6"/>
    <w:rsid w:val="000335E0"/>
    <w:rsid w:val="0003456B"/>
    <w:rsid w:val="00036C7F"/>
    <w:rsid w:val="00037EFD"/>
    <w:rsid w:val="00041669"/>
    <w:rsid w:val="00041D75"/>
    <w:rsid w:val="00042C17"/>
    <w:rsid w:val="000432CC"/>
    <w:rsid w:val="00043834"/>
    <w:rsid w:val="00043DEC"/>
    <w:rsid w:val="00043EF5"/>
    <w:rsid w:val="000444FA"/>
    <w:rsid w:val="00044F22"/>
    <w:rsid w:val="00045241"/>
    <w:rsid w:val="0004644A"/>
    <w:rsid w:val="0004797C"/>
    <w:rsid w:val="00050461"/>
    <w:rsid w:val="0005071D"/>
    <w:rsid w:val="00050905"/>
    <w:rsid w:val="00050CDC"/>
    <w:rsid w:val="0005186F"/>
    <w:rsid w:val="000519A4"/>
    <w:rsid w:val="0005248E"/>
    <w:rsid w:val="00053589"/>
    <w:rsid w:val="000550C1"/>
    <w:rsid w:val="00055A1E"/>
    <w:rsid w:val="0005698E"/>
    <w:rsid w:val="0005752C"/>
    <w:rsid w:val="000617A9"/>
    <w:rsid w:val="000618B6"/>
    <w:rsid w:val="00061BA4"/>
    <w:rsid w:val="00062376"/>
    <w:rsid w:val="00062386"/>
    <w:rsid w:val="000632CC"/>
    <w:rsid w:val="00063B18"/>
    <w:rsid w:val="00063F45"/>
    <w:rsid w:val="0006436B"/>
    <w:rsid w:val="00064755"/>
    <w:rsid w:val="00064EBB"/>
    <w:rsid w:val="00065CD6"/>
    <w:rsid w:val="00065DC2"/>
    <w:rsid w:val="0006617A"/>
    <w:rsid w:val="0006709B"/>
    <w:rsid w:val="00067C31"/>
    <w:rsid w:val="00067CAF"/>
    <w:rsid w:val="00070555"/>
    <w:rsid w:val="00071763"/>
    <w:rsid w:val="00071E9B"/>
    <w:rsid w:val="000724BC"/>
    <w:rsid w:val="000733E6"/>
    <w:rsid w:val="00075D52"/>
    <w:rsid w:val="00075E0E"/>
    <w:rsid w:val="00077504"/>
    <w:rsid w:val="00077A89"/>
    <w:rsid w:val="00080532"/>
    <w:rsid w:val="00080B2D"/>
    <w:rsid w:val="00082D51"/>
    <w:rsid w:val="00082F1B"/>
    <w:rsid w:val="00082FC1"/>
    <w:rsid w:val="00083429"/>
    <w:rsid w:val="000836C8"/>
    <w:rsid w:val="00083AA4"/>
    <w:rsid w:val="00084BB4"/>
    <w:rsid w:val="0008546E"/>
    <w:rsid w:val="00085698"/>
    <w:rsid w:val="00090A72"/>
    <w:rsid w:val="000943DF"/>
    <w:rsid w:val="000945EE"/>
    <w:rsid w:val="00094B4C"/>
    <w:rsid w:val="00094D7D"/>
    <w:rsid w:val="000950AB"/>
    <w:rsid w:val="00096A9F"/>
    <w:rsid w:val="0009718D"/>
    <w:rsid w:val="000A0305"/>
    <w:rsid w:val="000A066D"/>
    <w:rsid w:val="000A1389"/>
    <w:rsid w:val="000A345B"/>
    <w:rsid w:val="000A3A3C"/>
    <w:rsid w:val="000A5125"/>
    <w:rsid w:val="000A56E6"/>
    <w:rsid w:val="000A6282"/>
    <w:rsid w:val="000A62B0"/>
    <w:rsid w:val="000B0804"/>
    <w:rsid w:val="000B12D7"/>
    <w:rsid w:val="000B1B8A"/>
    <w:rsid w:val="000B1DA0"/>
    <w:rsid w:val="000B2859"/>
    <w:rsid w:val="000B2AAD"/>
    <w:rsid w:val="000B2CE6"/>
    <w:rsid w:val="000B302B"/>
    <w:rsid w:val="000B362D"/>
    <w:rsid w:val="000B45D2"/>
    <w:rsid w:val="000B748A"/>
    <w:rsid w:val="000B794B"/>
    <w:rsid w:val="000B7D88"/>
    <w:rsid w:val="000C066B"/>
    <w:rsid w:val="000C0B78"/>
    <w:rsid w:val="000C233E"/>
    <w:rsid w:val="000C2400"/>
    <w:rsid w:val="000C24CA"/>
    <w:rsid w:val="000C257F"/>
    <w:rsid w:val="000C2921"/>
    <w:rsid w:val="000C354A"/>
    <w:rsid w:val="000C3F79"/>
    <w:rsid w:val="000C4926"/>
    <w:rsid w:val="000C4A58"/>
    <w:rsid w:val="000C5144"/>
    <w:rsid w:val="000C565A"/>
    <w:rsid w:val="000C5A50"/>
    <w:rsid w:val="000C66BE"/>
    <w:rsid w:val="000C6F14"/>
    <w:rsid w:val="000C7A68"/>
    <w:rsid w:val="000C7CF8"/>
    <w:rsid w:val="000D04DE"/>
    <w:rsid w:val="000D1BA2"/>
    <w:rsid w:val="000D24FE"/>
    <w:rsid w:val="000D2622"/>
    <w:rsid w:val="000D274D"/>
    <w:rsid w:val="000D2E24"/>
    <w:rsid w:val="000D45D4"/>
    <w:rsid w:val="000D4FE7"/>
    <w:rsid w:val="000D5B7B"/>
    <w:rsid w:val="000D62E7"/>
    <w:rsid w:val="000D6AB7"/>
    <w:rsid w:val="000D6C11"/>
    <w:rsid w:val="000D6D29"/>
    <w:rsid w:val="000D760B"/>
    <w:rsid w:val="000D78DF"/>
    <w:rsid w:val="000D7C73"/>
    <w:rsid w:val="000E07BB"/>
    <w:rsid w:val="000E09E9"/>
    <w:rsid w:val="000E0C45"/>
    <w:rsid w:val="000E0FB1"/>
    <w:rsid w:val="000E2201"/>
    <w:rsid w:val="000E5463"/>
    <w:rsid w:val="000E621E"/>
    <w:rsid w:val="000E7750"/>
    <w:rsid w:val="000F084B"/>
    <w:rsid w:val="000F0E50"/>
    <w:rsid w:val="000F118B"/>
    <w:rsid w:val="000F18CB"/>
    <w:rsid w:val="000F1A34"/>
    <w:rsid w:val="000F1BEA"/>
    <w:rsid w:val="000F1E70"/>
    <w:rsid w:val="000F2128"/>
    <w:rsid w:val="000F2A58"/>
    <w:rsid w:val="000F3E7F"/>
    <w:rsid w:val="000F4764"/>
    <w:rsid w:val="000F51D2"/>
    <w:rsid w:val="000F5F57"/>
    <w:rsid w:val="000F620F"/>
    <w:rsid w:val="00100754"/>
    <w:rsid w:val="00100C5C"/>
    <w:rsid w:val="00100D76"/>
    <w:rsid w:val="0010115E"/>
    <w:rsid w:val="00102C86"/>
    <w:rsid w:val="0010374A"/>
    <w:rsid w:val="00103AFA"/>
    <w:rsid w:val="00103BBB"/>
    <w:rsid w:val="00105C19"/>
    <w:rsid w:val="00105E81"/>
    <w:rsid w:val="00107870"/>
    <w:rsid w:val="00110061"/>
    <w:rsid w:val="0011024E"/>
    <w:rsid w:val="001107FC"/>
    <w:rsid w:val="00111A2D"/>
    <w:rsid w:val="0011301D"/>
    <w:rsid w:val="00113C05"/>
    <w:rsid w:val="0011434E"/>
    <w:rsid w:val="00114BC5"/>
    <w:rsid w:val="001170B5"/>
    <w:rsid w:val="00117ACE"/>
    <w:rsid w:val="00120364"/>
    <w:rsid w:val="00120E69"/>
    <w:rsid w:val="00121197"/>
    <w:rsid w:val="0012136A"/>
    <w:rsid w:val="00121610"/>
    <w:rsid w:val="00121CBF"/>
    <w:rsid w:val="001224CE"/>
    <w:rsid w:val="00122AD3"/>
    <w:rsid w:val="00122E98"/>
    <w:rsid w:val="00123058"/>
    <w:rsid w:val="001237A8"/>
    <w:rsid w:val="001241AA"/>
    <w:rsid w:val="001242C9"/>
    <w:rsid w:val="001245C2"/>
    <w:rsid w:val="001246EC"/>
    <w:rsid w:val="001257A3"/>
    <w:rsid w:val="00125F66"/>
    <w:rsid w:val="00126754"/>
    <w:rsid w:val="0012697E"/>
    <w:rsid w:val="00126E7C"/>
    <w:rsid w:val="00126FC2"/>
    <w:rsid w:val="001275B4"/>
    <w:rsid w:val="00127651"/>
    <w:rsid w:val="00127CFB"/>
    <w:rsid w:val="001308DB"/>
    <w:rsid w:val="00130AF7"/>
    <w:rsid w:val="00131767"/>
    <w:rsid w:val="0013194A"/>
    <w:rsid w:val="00131E3C"/>
    <w:rsid w:val="001331B5"/>
    <w:rsid w:val="0013332F"/>
    <w:rsid w:val="00133F73"/>
    <w:rsid w:val="0013417E"/>
    <w:rsid w:val="001345E6"/>
    <w:rsid w:val="00134F53"/>
    <w:rsid w:val="001353CB"/>
    <w:rsid w:val="00137ACC"/>
    <w:rsid w:val="00137F34"/>
    <w:rsid w:val="001406DF"/>
    <w:rsid w:val="00141631"/>
    <w:rsid w:val="00141933"/>
    <w:rsid w:val="00142027"/>
    <w:rsid w:val="0014251F"/>
    <w:rsid w:val="0014363B"/>
    <w:rsid w:val="00143912"/>
    <w:rsid w:val="00143B8A"/>
    <w:rsid w:val="00144124"/>
    <w:rsid w:val="00144DCA"/>
    <w:rsid w:val="001454EE"/>
    <w:rsid w:val="00145D8B"/>
    <w:rsid w:val="00146E8C"/>
    <w:rsid w:val="001475AE"/>
    <w:rsid w:val="00147706"/>
    <w:rsid w:val="00147E2F"/>
    <w:rsid w:val="00147F92"/>
    <w:rsid w:val="00150611"/>
    <w:rsid w:val="00150D86"/>
    <w:rsid w:val="00151795"/>
    <w:rsid w:val="00151A0F"/>
    <w:rsid w:val="00151C1C"/>
    <w:rsid w:val="0015256E"/>
    <w:rsid w:val="00153B1F"/>
    <w:rsid w:val="00153B5C"/>
    <w:rsid w:val="00153FA9"/>
    <w:rsid w:val="001546FD"/>
    <w:rsid w:val="00155BC1"/>
    <w:rsid w:val="00155DE8"/>
    <w:rsid w:val="00155E7C"/>
    <w:rsid w:val="00156399"/>
    <w:rsid w:val="001568F7"/>
    <w:rsid w:val="0015693D"/>
    <w:rsid w:val="001571C0"/>
    <w:rsid w:val="0015729F"/>
    <w:rsid w:val="00160652"/>
    <w:rsid w:val="001612B1"/>
    <w:rsid w:val="0016271A"/>
    <w:rsid w:val="00163114"/>
    <w:rsid w:val="00163143"/>
    <w:rsid w:val="00164D1E"/>
    <w:rsid w:val="00165C85"/>
    <w:rsid w:val="00166145"/>
    <w:rsid w:val="00167694"/>
    <w:rsid w:val="001709AA"/>
    <w:rsid w:val="0017108D"/>
    <w:rsid w:val="0017244C"/>
    <w:rsid w:val="00172531"/>
    <w:rsid w:val="001728DF"/>
    <w:rsid w:val="001737E5"/>
    <w:rsid w:val="00174B17"/>
    <w:rsid w:val="00175075"/>
    <w:rsid w:val="00175173"/>
    <w:rsid w:val="001756A4"/>
    <w:rsid w:val="00175746"/>
    <w:rsid w:val="00175A3A"/>
    <w:rsid w:val="001766E1"/>
    <w:rsid w:val="00176F0F"/>
    <w:rsid w:val="00176F13"/>
    <w:rsid w:val="001777A2"/>
    <w:rsid w:val="001778A6"/>
    <w:rsid w:val="001778F5"/>
    <w:rsid w:val="00180727"/>
    <w:rsid w:val="00180DB0"/>
    <w:rsid w:val="001810A9"/>
    <w:rsid w:val="00181A30"/>
    <w:rsid w:val="00182812"/>
    <w:rsid w:val="0018298C"/>
    <w:rsid w:val="00183064"/>
    <w:rsid w:val="001840B8"/>
    <w:rsid w:val="001859C8"/>
    <w:rsid w:val="001862D3"/>
    <w:rsid w:val="00187146"/>
    <w:rsid w:val="001913B2"/>
    <w:rsid w:val="0019156C"/>
    <w:rsid w:val="001937A4"/>
    <w:rsid w:val="00193AA6"/>
    <w:rsid w:val="00193C21"/>
    <w:rsid w:val="0019427F"/>
    <w:rsid w:val="0019614F"/>
    <w:rsid w:val="00196162"/>
    <w:rsid w:val="00196883"/>
    <w:rsid w:val="001A04C8"/>
    <w:rsid w:val="001A083B"/>
    <w:rsid w:val="001A0DA3"/>
    <w:rsid w:val="001A33C3"/>
    <w:rsid w:val="001A355E"/>
    <w:rsid w:val="001A4022"/>
    <w:rsid w:val="001A47ED"/>
    <w:rsid w:val="001A5F3C"/>
    <w:rsid w:val="001A61EB"/>
    <w:rsid w:val="001A6E5D"/>
    <w:rsid w:val="001A78C3"/>
    <w:rsid w:val="001A7BE4"/>
    <w:rsid w:val="001B00FF"/>
    <w:rsid w:val="001B07E1"/>
    <w:rsid w:val="001B160B"/>
    <w:rsid w:val="001B3454"/>
    <w:rsid w:val="001B3F28"/>
    <w:rsid w:val="001B5180"/>
    <w:rsid w:val="001B55C6"/>
    <w:rsid w:val="001B58FD"/>
    <w:rsid w:val="001B5CC1"/>
    <w:rsid w:val="001B65E2"/>
    <w:rsid w:val="001B70AA"/>
    <w:rsid w:val="001B7795"/>
    <w:rsid w:val="001B78DE"/>
    <w:rsid w:val="001B793A"/>
    <w:rsid w:val="001B7C41"/>
    <w:rsid w:val="001C09BC"/>
    <w:rsid w:val="001C0C01"/>
    <w:rsid w:val="001C0DA4"/>
    <w:rsid w:val="001C1968"/>
    <w:rsid w:val="001C3B7A"/>
    <w:rsid w:val="001C3FD4"/>
    <w:rsid w:val="001C5A84"/>
    <w:rsid w:val="001C7597"/>
    <w:rsid w:val="001D006B"/>
    <w:rsid w:val="001D18A7"/>
    <w:rsid w:val="001D217F"/>
    <w:rsid w:val="001D2E82"/>
    <w:rsid w:val="001D3822"/>
    <w:rsid w:val="001D3E23"/>
    <w:rsid w:val="001D4BF0"/>
    <w:rsid w:val="001E0650"/>
    <w:rsid w:val="001E0D69"/>
    <w:rsid w:val="001E1537"/>
    <w:rsid w:val="001E1D48"/>
    <w:rsid w:val="001E26E4"/>
    <w:rsid w:val="001E2B0A"/>
    <w:rsid w:val="001E32A5"/>
    <w:rsid w:val="001E401E"/>
    <w:rsid w:val="001E424E"/>
    <w:rsid w:val="001E499E"/>
    <w:rsid w:val="001E76E6"/>
    <w:rsid w:val="001F04DF"/>
    <w:rsid w:val="001F1ADA"/>
    <w:rsid w:val="001F273F"/>
    <w:rsid w:val="001F2EC9"/>
    <w:rsid w:val="001F35CD"/>
    <w:rsid w:val="001F36E7"/>
    <w:rsid w:val="001F396D"/>
    <w:rsid w:val="001F3DCC"/>
    <w:rsid w:val="001F4FDA"/>
    <w:rsid w:val="001F54D0"/>
    <w:rsid w:val="001F5A02"/>
    <w:rsid w:val="001F60B0"/>
    <w:rsid w:val="001F7A1E"/>
    <w:rsid w:val="001F7EB1"/>
    <w:rsid w:val="00200490"/>
    <w:rsid w:val="00200949"/>
    <w:rsid w:val="00201C7A"/>
    <w:rsid w:val="00202AB2"/>
    <w:rsid w:val="00202B4A"/>
    <w:rsid w:val="00202FA1"/>
    <w:rsid w:val="00203812"/>
    <w:rsid w:val="0020438B"/>
    <w:rsid w:val="00204DBF"/>
    <w:rsid w:val="00205BFE"/>
    <w:rsid w:val="00205D8E"/>
    <w:rsid w:val="0020655D"/>
    <w:rsid w:val="002066BA"/>
    <w:rsid w:val="002067B9"/>
    <w:rsid w:val="002079B6"/>
    <w:rsid w:val="00207E46"/>
    <w:rsid w:val="00212F30"/>
    <w:rsid w:val="002149B4"/>
    <w:rsid w:val="00214A16"/>
    <w:rsid w:val="00214AE5"/>
    <w:rsid w:val="00214D7D"/>
    <w:rsid w:val="00215378"/>
    <w:rsid w:val="00215F48"/>
    <w:rsid w:val="00215FCD"/>
    <w:rsid w:val="00216377"/>
    <w:rsid w:val="002177C6"/>
    <w:rsid w:val="002200C2"/>
    <w:rsid w:val="00220594"/>
    <w:rsid w:val="0022221F"/>
    <w:rsid w:val="002223DC"/>
    <w:rsid w:val="002226AE"/>
    <w:rsid w:val="00223CB7"/>
    <w:rsid w:val="00223D4B"/>
    <w:rsid w:val="00224223"/>
    <w:rsid w:val="002248E3"/>
    <w:rsid w:val="00224D82"/>
    <w:rsid w:val="0022613C"/>
    <w:rsid w:val="002262C1"/>
    <w:rsid w:val="00226E3C"/>
    <w:rsid w:val="00226F49"/>
    <w:rsid w:val="00230622"/>
    <w:rsid w:val="00233B86"/>
    <w:rsid w:val="00234ACC"/>
    <w:rsid w:val="00234D92"/>
    <w:rsid w:val="00235540"/>
    <w:rsid w:val="002363A7"/>
    <w:rsid w:val="002366F1"/>
    <w:rsid w:val="0023764A"/>
    <w:rsid w:val="00237ACB"/>
    <w:rsid w:val="00237DFE"/>
    <w:rsid w:val="0024013B"/>
    <w:rsid w:val="00240165"/>
    <w:rsid w:val="00240D6C"/>
    <w:rsid w:val="002424F3"/>
    <w:rsid w:val="00242615"/>
    <w:rsid w:val="00242780"/>
    <w:rsid w:val="002428AD"/>
    <w:rsid w:val="00243445"/>
    <w:rsid w:val="00243E60"/>
    <w:rsid w:val="00244309"/>
    <w:rsid w:val="00244A08"/>
    <w:rsid w:val="00244AB1"/>
    <w:rsid w:val="00244D1C"/>
    <w:rsid w:val="00244D7B"/>
    <w:rsid w:val="00244E18"/>
    <w:rsid w:val="00245E03"/>
    <w:rsid w:val="00246031"/>
    <w:rsid w:val="00246379"/>
    <w:rsid w:val="0024660D"/>
    <w:rsid w:val="002508DF"/>
    <w:rsid w:val="00251085"/>
    <w:rsid w:val="0025135A"/>
    <w:rsid w:val="00251B55"/>
    <w:rsid w:val="00252099"/>
    <w:rsid w:val="00252D11"/>
    <w:rsid w:val="00254152"/>
    <w:rsid w:val="00254901"/>
    <w:rsid w:val="00254AAC"/>
    <w:rsid w:val="00254D5A"/>
    <w:rsid w:val="00255067"/>
    <w:rsid w:val="0025576A"/>
    <w:rsid w:val="00256127"/>
    <w:rsid w:val="0025717F"/>
    <w:rsid w:val="0025746C"/>
    <w:rsid w:val="00257895"/>
    <w:rsid w:val="00260494"/>
    <w:rsid w:val="00262056"/>
    <w:rsid w:val="002629F7"/>
    <w:rsid w:val="00263618"/>
    <w:rsid w:val="00263D48"/>
    <w:rsid w:val="00264423"/>
    <w:rsid w:val="00264AA3"/>
    <w:rsid w:val="00265313"/>
    <w:rsid w:val="002655AC"/>
    <w:rsid w:val="00265708"/>
    <w:rsid w:val="002708C6"/>
    <w:rsid w:val="00270AEF"/>
    <w:rsid w:val="00271465"/>
    <w:rsid w:val="002714B1"/>
    <w:rsid w:val="00271671"/>
    <w:rsid w:val="00271FC8"/>
    <w:rsid w:val="002736D9"/>
    <w:rsid w:val="00273D53"/>
    <w:rsid w:val="002741E4"/>
    <w:rsid w:val="00274DAC"/>
    <w:rsid w:val="00274FED"/>
    <w:rsid w:val="00275971"/>
    <w:rsid w:val="002762FE"/>
    <w:rsid w:val="00276E99"/>
    <w:rsid w:val="002807AE"/>
    <w:rsid w:val="00280A33"/>
    <w:rsid w:val="00280C89"/>
    <w:rsid w:val="00280F1A"/>
    <w:rsid w:val="00281AB4"/>
    <w:rsid w:val="00281F29"/>
    <w:rsid w:val="00282109"/>
    <w:rsid w:val="00282E6C"/>
    <w:rsid w:val="00282EF0"/>
    <w:rsid w:val="00283FFD"/>
    <w:rsid w:val="00284F96"/>
    <w:rsid w:val="002854C1"/>
    <w:rsid w:val="00286C9E"/>
    <w:rsid w:val="00286F58"/>
    <w:rsid w:val="00286F82"/>
    <w:rsid w:val="002906EE"/>
    <w:rsid w:val="00290710"/>
    <w:rsid w:val="00290D7E"/>
    <w:rsid w:val="00290F5A"/>
    <w:rsid w:val="00291193"/>
    <w:rsid w:val="002914AF"/>
    <w:rsid w:val="00292237"/>
    <w:rsid w:val="00294E6F"/>
    <w:rsid w:val="00295773"/>
    <w:rsid w:val="0029768E"/>
    <w:rsid w:val="002A0D03"/>
    <w:rsid w:val="002A2977"/>
    <w:rsid w:val="002A5E83"/>
    <w:rsid w:val="002A703C"/>
    <w:rsid w:val="002A740B"/>
    <w:rsid w:val="002A759F"/>
    <w:rsid w:val="002A7919"/>
    <w:rsid w:val="002B06B6"/>
    <w:rsid w:val="002B0830"/>
    <w:rsid w:val="002B1860"/>
    <w:rsid w:val="002B2A79"/>
    <w:rsid w:val="002B2A9B"/>
    <w:rsid w:val="002B338B"/>
    <w:rsid w:val="002B3948"/>
    <w:rsid w:val="002B3A86"/>
    <w:rsid w:val="002B4B78"/>
    <w:rsid w:val="002B5BE7"/>
    <w:rsid w:val="002B6258"/>
    <w:rsid w:val="002B7C8F"/>
    <w:rsid w:val="002C0148"/>
    <w:rsid w:val="002C088E"/>
    <w:rsid w:val="002C1A13"/>
    <w:rsid w:val="002C2792"/>
    <w:rsid w:val="002C2ACE"/>
    <w:rsid w:val="002C39CD"/>
    <w:rsid w:val="002C53D9"/>
    <w:rsid w:val="002C5772"/>
    <w:rsid w:val="002C5EFE"/>
    <w:rsid w:val="002C5F2B"/>
    <w:rsid w:val="002C63BF"/>
    <w:rsid w:val="002C709E"/>
    <w:rsid w:val="002C7183"/>
    <w:rsid w:val="002C71A3"/>
    <w:rsid w:val="002D1389"/>
    <w:rsid w:val="002D249F"/>
    <w:rsid w:val="002D38C3"/>
    <w:rsid w:val="002D39EB"/>
    <w:rsid w:val="002D4FF9"/>
    <w:rsid w:val="002D6166"/>
    <w:rsid w:val="002D63D7"/>
    <w:rsid w:val="002D6E32"/>
    <w:rsid w:val="002D74B0"/>
    <w:rsid w:val="002D7B80"/>
    <w:rsid w:val="002E0EF2"/>
    <w:rsid w:val="002E1164"/>
    <w:rsid w:val="002E2484"/>
    <w:rsid w:val="002E25A2"/>
    <w:rsid w:val="002E260F"/>
    <w:rsid w:val="002E2A83"/>
    <w:rsid w:val="002E2DE3"/>
    <w:rsid w:val="002E3F3C"/>
    <w:rsid w:val="002E5A01"/>
    <w:rsid w:val="002E5C94"/>
    <w:rsid w:val="002E5CF5"/>
    <w:rsid w:val="002E5D4E"/>
    <w:rsid w:val="002E6413"/>
    <w:rsid w:val="002E6769"/>
    <w:rsid w:val="002E7DF7"/>
    <w:rsid w:val="002F11C0"/>
    <w:rsid w:val="002F1347"/>
    <w:rsid w:val="002F1383"/>
    <w:rsid w:val="002F15FF"/>
    <w:rsid w:val="002F2492"/>
    <w:rsid w:val="002F2611"/>
    <w:rsid w:val="002F28E2"/>
    <w:rsid w:val="002F2AD9"/>
    <w:rsid w:val="002F2D16"/>
    <w:rsid w:val="002F31BD"/>
    <w:rsid w:val="002F32B9"/>
    <w:rsid w:val="002F3B42"/>
    <w:rsid w:val="002F44E9"/>
    <w:rsid w:val="002F4F1B"/>
    <w:rsid w:val="002F4F2D"/>
    <w:rsid w:val="002F511C"/>
    <w:rsid w:val="002F61CF"/>
    <w:rsid w:val="002F67FC"/>
    <w:rsid w:val="002F6877"/>
    <w:rsid w:val="002F69E7"/>
    <w:rsid w:val="002F7043"/>
    <w:rsid w:val="002F7750"/>
    <w:rsid w:val="002F7A57"/>
    <w:rsid w:val="0030024F"/>
    <w:rsid w:val="00301D1E"/>
    <w:rsid w:val="003026F0"/>
    <w:rsid w:val="00302AB1"/>
    <w:rsid w:val="003040C4"/>
    <w:rsid w:val="0030432C"/>
    <w:rsid w:val="0030458A"/>
    <w:rsid w:val="00304B50"/>
    <w:rsid w:val="00305144"/>
    <w:rsid w:val="00306B5F"/>
    <w:rsid w:val="00306D12"/>
    <w:rsid w:val="003075B2"/>
    <w:rsid w:val="00307B38"/>
    <w:rsid w:val="00307BC2"/>
    <w:rsid w:val="003103EC"/>
    <w:rsid w:val="00310A4C"/>
    <w:rsid w:val="00311B9E"/>
    <w:rsid w:val="00312485"/>
    <w:rsid w:val="003125A0"/>
    <w:rsid w:val="003127FC"/>
    <w:rsid w:val="00313538"/>
    <w:rsid w:val="00314A87"/>
    <w:rsid w:val="003150DA"/>
    <w:rsid w:val="003151C3"/>
    <w:rsid w:val="003168D2"/>
    <w:rsid w:val="00316B7F"/>
    <w:rsid w:val="00316F0A"/>
    <w:rsid w:val="0031709C"/>
    <w:rsid w:val="00317980"/>
    <w:rsid w:val="0032002E"/>
    <w:rsid w:val="003204E9"/>
    <w:rsid w:val="00320F30"/>
    <w:rsid w:val="00321E37"/>
    <w:rsid w:val="003220C1"/>
    <w:rsid w:val="003226E3"/>
    <w:rsid w:val="00323475"/>
    <w:rsid w:val="0032419B"/>
    <w:rsid w:val="00324C48"/>
    <w:rsid w:val="00325232"/>
    <w:rsid w:val="003258D2"/>
    <w:rsid w:val="003260CB"/>
    <w:rsid w:val="00327B07"/>
    <w:rsid w:val="00330260"/>
    <w:rsid w:val="00331205"/>
    <w:rsid w:val="00332D91"/>
    <w:rsid w:val="003341D9"/>
    <w:rsid w:val="00334B4D"/>
    <w:rsid w:val="00335005"/>
    <w:rsid w:val="003355CF"/>
    <w:rsid w:val="00337F14"/>
    <w:rsid w:val="00341A3F"/>
    <w:rsid w:val="00341F19"/>
    <w:rsid w:val="003430E5"/>
    <w:rsid w:val="003432AD"/>
    <w:rsid w:val="00345150"/>
    <w:rsid w:val="003458EF"/>
    <w:rsid w:val="00345FAF"/>
    <w:rsid w:val="003468AA"/>
    <w:rsid w:val="00346B7C"/>
    <w:rsid w:val="00347779"/>
    <w:rsid w:val="00350089"/>
    <w:rsid w:val="0035155D"/>
    <w:rsid w:val="003515D2"/>
    <w:rsid w:val="0035275F"/>
    <w:rsid w:val="0035366A"/>
    <w:rsid w:val="003539F4"/>
    <w:rsid w:val="0035443E"/>
    <w:rsid w:val="0035666A"/>
    <w:rsid w:val="00356AE7"/>
    <w:rsid w:val="00357418"/>
    <w:rsid w:val="0036013D"/>
    <w:rsid w:val="00360581"/>
    <w:rsid w:val="003607B4"/>
    <w:rsid w:val="00360E76"/>
    <w:rsid w:val="0036178C"/>
    <w:rsid w:val="003626B4"/>
    <w:rsid w:val="003629C0"/>
    <w:rsid w:val="0036392C"/>
    <w:rsid w:val="00363BBE"/>
    <w:rsid w:val="0036419F"/>
    <w:rsid w:val="003659FF"/>
    <w:rsid w:val="003667EA"/>
    <w:rsid w:val="003669FE"/>
    <w:rsid w:val="00370C13"/>
    <w:rsid w:val="0037123D"/>
    <w:rsid w:val="00371FA3"/>
    <w:rsid w:val="003720AF"/>
    <w:rsid w:val="00373014"/>
    <w:rsid w:val="0037309A"/>
    <w:rsid w:val="00373176"/>
    <w:rsid w:val="00373F38"/>
    <w:rsid w:val="00373FB7"/>
    <w:rsid w:val="0037405E"/>
    <w:rsid w:val="00375EAC"/>
    <w:rsid w:val="00375FE1"/>
    <w:rsid w:val="00376B6D"/>
    <w:rsid w:val="00376EDC"/>
    <w:rsid w:val="003800BF"/>
    <w:rsid w:val="0038020D"/>
    <w:rsid w:val="0038064E"/>
    <w:rsid w:val="0038073B"/>
    <w:rsid w:val="00381937"/>
    <w:rsid w:val="00381C31"/>
    <w:rsid w:val="00382922"/>
    <w:rsid w:val="00382B2B"/>
    <w:rsid w:val="003838D7"/>
    <w:rsid w:val="003848A2"/>
    <w:rsid w:val="00385521"/>
    <w:rsid w:val="0038552B"/>
    <w:rsid w:val="00385D0A"/>
    <w:rsid w:val="0038776A"/>
    <w:rsid w:val="00391487"/>
    <w:rsid w:val="00392992"/>
    <w:rsid w:val="00392C3F"/>
    <w:rsid w:val="00394E91"/>
    <w:rsid w:val="00396756"/>
    <w:rsid w:val="00397E0D"/>
    <w:rsid w:val="003A0F59"/>
    <w:rsid w:val="003A1446"/>
    <w:rsid w:val="003A2AAE"/>
    <w:rsid w:val="003A4084"/>
    <w:rsid w:val="003A4229"/>
    <w:rsid w:val="003A49C0"/>
    <w:rsid w:val="003A5949"/>
    <w:rsid w:val="003A60AD"/>
    <w:rsid w:val="003A65AC"/>
    <w:rsid w:val="003A7244"/>
    <w:rsid w:val="003A766F"/>
    <w:rsid w:val="003B121A"/>
    <w:rsid w:val="003B14B1"/>
    <w:rsid w:val="003B2883"/>
    <w:rsid w:val="003B2CC0"/>
    <w:rsid w:val="003B35B2"/>
    <w:rsid w:val="003B4D5B"/>
    <w:rsid w:val="003B6020"/>
    <w:rsid w:val="003B69A8"/>
    <w:rsid w:val="003B6C13"/>
    <w:rsid w:val="003B7B6E"/>
    <w:rsid w:val="003B7C1F"/>
    <w:rsid w:val="003C1573"/>
    <w:rsid w:val="003C162F"/>
    <w:rsid w:val="003C2196"/>
    <w:rsid w:val="003C220E"/>
    <w:rsid w:val="003C2958"/>
    <w:rsid w:val="003C2DF3"/>
    <w:rsid w:val="003C2F11"/>
    <w:rsid w:val="003C59EB"/>
    <w:rsid w:val="003C5BB7"/>
    <w:rsid w:val="003C5F51"/>
    <w:rsid w:val="003C6B25"/>
    <w:rsid w:val="003C6E53"/>
    <w:rsid w:val="003C6F02"/>
    <w:rsid w:val="003C75E1"/>
    <w:rsid w:val="003D0A8C"/>
    <w:rsid w:val="003D19FF"/>
    <w:rsid w:val="003D2C4F"/>
    <w:rsid w:val="003D330B"/>
    <w:rsid w:val="003D5557"/>
    <w:rsid w:val="003D61A6"/>
    <w:rsid w:val="003D6C59"/>
    <w:rsid w:val="003E015B"/>
    <w:rsid w:val="003E0639"/>
    <w:rsid w:val="003E16E0"/>
    <w:rsid w:val="003E1724"/>
    <w:rsid w:val="003E43D8"/>
    <w:rsid w:val="003E5286"/>
    <w:rsid w:val="003E5DCE"/>
    <w:rsid w:val="003E6A5B"/>
    <w:rsid w:val="003F01D7"/>
    <w:rsid w:val="003F06CE"/>
    <w:rsid w:val="003F0AF7"/>
    <w:rsid w:val="003F1BCB"/>
    <w:rsid w:val="003F2298"/>
    <w:rsid w:val="003F3E43"/>
    <w:rsid w:val="003F5328"/>
    <w:rsid w:val="003F5764"/>
    <w:rsid w:val="003F5DD3"/>
    <w:rsid w:val="003F64D1"/>
    <w:rsid w:val="003F66AB"/>
    <w:rsid w:val="003F712B"/>
    <w:rsid w:val="003F73A9"/>
    <w:rsid w:val="003F7534"/>
    <w:rsid w:val="003F7B95"/>
    <w:rsid w:val="003F7D61"/>
    <w:rsid w:val="003F7E23"/>
    <w:rsid w:val="0040007C"/>
    <w:rsid w:val="0040046F"/>
    <w:rsid w:val="004008BB"/>
    <w:rsid w:val="00402426"/>
    <w:rsid w:val="004029AB"/>
    <w:rsid w:val="00403C30"/>
    <w:rsid w:val="004045F3"/>
    <w:rsid w:val="004049A7"/>
    <w:rsid w:val="00404BE0"/>
    <w:rsid w:val="004071F5"/>
    <w:rsid w:val="00407245"/>
    <w:rsid w:val="004072D1"/>
    <w:rsid w:val="00407DCA"/>
    <w:rsid w:val="004104FB"/>
    <w:rsid w:val="00410896"/>
    <w:rsid w:val="00411D79"/>
    <w:rsid w:val="00411E4C"/>
    <w:rsid w:val="00412A66"/>
    <w:rsid w:val="00412E8E"/>
    <w:rsid w:val="00412F1D"/>
    <w:rsid w:val="0041384D"/>
    <w:rsid w:val="0041414B"/>
    <w:rsid w:val="00414260"/>
    <w:rsid w:val="004144B9"/>
    <w:rsid w:val="00414509"/>
    <w:rsid w:val="00414693"/>
    <w:rsid w:val="00420077"/>
    <w:rsid w:val="004201BF"/>
    <w:rsid w:val="00420DA5"/>
    <w:rsid w:val="004229F4"/>
    <w:rsid w:val="004233CA"/>
    <w:rsid w:val="00423A9D"/>
    <w:rsid w:val="00423CE2"/>
    <w:rsid w:val="00423F00"/>
    <w:rsid w:val="0042501F"/>
    <w:rsid w:val="0042641C"/>
    <w:rsid w:val="004300AD"/>
    <w:rsid w:val="00431636"/>
    <w:rsid w:val="00432389"/>
    <w:rsid w:val="00432FD0"/>
    <w:rsid w:val="00432FE3"/>
    <w:rsid w:val="00433526"/>
    <w:rsid w:val="00433C0B"/>
    <w:rsid w:val="00434389"/>
    <w:rsid w:val="0043484D"/>
    <w:rsid w:val="0043497B"/>
    <w:rsid w:val="004350A1"/>
    <w:rsid w:val="00435523"/>
    <w:rsid w:val="00436F9A"/>
    <w:rsid w:val="00437205"/>
    <w:rsid w:val="00440AC1"/>
    <w:rsid w:val="00441CA3"/>
    <w:rsid w:val="004422F5"/>
    <w:rsid w:val="00444508"/>
    <w:rsid w:val="00444CF2"/>
    <w:rsid w:val="00445680"/>
    <w:rsid w:val="00445B97"/>
    <w:rsid w:val="00447207"/>
    <w:rsid w:val="00447BB8"/>
    <w:rsid w:val="004513CA"/>
    <w:rsid w:val="00451A58"/>
    <w:rsid w:val="00452BBA"/>
    <w:rsid w:val="00454BA6"/>
    <w:rsid w:val="0045583C"/>
    <w:rsid w:val="004562F0"/>
    <w:rsid w:val="00456540"/>
    <w:rsid w:val="0045798F"/>
    <w:rsid w:val="00457E91"/>
    <w:rsid w:val="00461CCB"/>
    <w:rsid w:val="00462419"/>
    <w:rsid w:val="00462487"/>
    <w:rsid w:val="004640F7"/>
    <w:rsid w:val="00464BCC"/>
    <w:rsid w:val="0046554A"/>
    <w:rsid w:val="004655FB"/>
    <w:rsid w:val="00466B32"/>
    <w:rsid w:val="004677D2"/>
    <w:rsid w:val="004702C4"/>
    <w:rsid w:val="00470840"/>
    <w:rsid w:val="00470A03"/>
    <w:rsid w:val="004725B8"/>
    <w:rsid w:val="004728ED"/>
    <w:rsid w:val="00472D6B"/>
    <w:rsid w:val="0047332D"/>
    <w:rsid w:val="004735FC"/>
    <w:rsid w:val="00476D2E"/>
    <w:rsid w:val="00477831"/>
    <w:rsid w:val="004800E2"/>
    <w:rsid w:val="00480AAA"/>
    <w:rsid w:val="00481B4D"/>
    <w:rsid w:val="0048280D"/>
    <w:rsid w:val="00483592"/>
    <w:rsid w:val="00483B74"/>
    <w:rsid w:val="004845BB"/>
    <w:rsid w:val="00484743"/>
    <w:rsid w:val="00485762"/>
    <w:rsid w:val="00487B52"/>
    <w:rsid w:val="0049019D"/>
    <w:rsid w:val="00490DDB"/>
    <w:rsid w:val="0049101B"/>
    <w:rsid w:val="0049543B"/>
    <w:rsid w:val="00495640"/>
    <w:rsid w:val="00497976"/>
    <w:rsid w:val="00497AB9"/>
    <w:rsid w:val="004A02FE"/>
    <w:rsid w:val="004A1320"/>
    <w:rsid w:val="004A22BE"/>
    <w:rsid w:val="004A22CC"/>
    <w:rsid w:val="004A28CD"/>
    <w:rsid w:val="004A2F22"/>
    <w:rsid w:val="004A3052"/>
    <w:rsid w:val="004A3E96"/>
    <w:rsid w:val="004A42EB"/>
    <w:rsid w:val="004A61AA"/>
    <w:rsid w:val="004A6569"/>
    <w:rsid w:val="004B066F"/>
    <w:rsid w:val="004B0A58"/>
    <w:rsid w:val="004B0B1A"/>
    <w:rsid w:val="004B1CD7"/>
    <w:rsid w:val="004B21D1"/>
    <w:rsid w:val="004B3AD6"/>
    <w:rsid w:val="004B4F85"/>
    <w:rsid w:val="004B516F"/>
    <w:rsid w:val="004B51D2"/>
    <w:rsid w:val="004B53A1"/>
    <w:rsid w:val="004B6087"/>
    <w:rsid w:val="004B70F0"/>
    <w:rsid w:val="004B7F23"/>
    <w:rsid w:val="004C0B0E"/>
    <w:rsid w:val="004C0BA5"/>
    <w:rsid w:val="004C1088"/>
    <w:rsid w:val="004C3154"/>
    <w:rsid w:val="004C354F"/>
    <w:rsid w:val="004C37A4"/>
    <w:rsid w:val="004C3FC2"/>
    <w:rsid w:val="004C4303"/>
    <w:rsid w:val="004C48C4"/>
    <w:rsid w:val="004C5781"/>
    <w:rsid w:val="004C57D3"/>
    <w:rsid w:val="004C7DAD"/>
    <w:rsid w:val="004D0DC4"/>
    <w:rsid w:val="004D1EA7"/>
    <w:rsid w:val="004D266E"/>
    <w:rsid w:val="004D30C1"/>
    <w:rsid w:val="004D32F9"/>
    <w:rsid w:val="004D3B03"/>
    <w:rsid w:val="004D4791"/>
    <w:rsid w:val="004D4B42"/>
    <w:rsid w:val="004D4CC7"/>
    <w:rsid w:val="004D4EB2"/>
    <w:rsid w:val="004D520F"/>
    <w:rsid w:val="004D5A31"/>
    <w:rsid w:val="004D6C92"/>
    <w:rsid w:val="004D7124"/>
    <w:rsid w:val="004D71B9"/>
    <w:rsid w:val="004D7551"/>
    <w:rsid w:val="004D79FD"/>
    <w:rsid w:val="004E03E5"/>
    <w:rsid w:val="004E0A32"/>
    <w:rsid w:val="004E1054"/>
    <w:rsid w:val="004E15C3"/>
    <w:rsid w:val="004E15F9"/>
    <w:rsid w:val="004E175B"/>
    <w:rsid w:val="004E1C9B"/>
    <w:rsid w:val="004E278E"/>
    <w:rsid w:val="004E2A6E"/>
    <w:rsid w:val="004E4233"/>
    <w:rsid w:val="004E4CC1"/>
    <w:rsid w:val="004E5468"/>
    <w:rsid w:val="004E6C28"/>
    <w:rsid w:val="004E6F87"/>
    <w:rsid w:val="004F1D5E"/>
    <w:rsid w:val="004F3392"/>
    <w:rsid w:val="004F364C"/>
    <w:rsid w:val="004F4D26"/>
    <w:rsid w:val="004F4E7B"/>
    <w:rsid w:val="004F4F5A"/>
    <w:rsid w:val="004F4FDC"/>
    <w:rsid w:val="004F559F"/>
    <w:rsid w:val="004F56D4"/>
    <w:rsid w:val="004F57BD"/>
    <w:rsid w:val="004F5BF6"/>
    <w:rsid w:val="00500D63"/>
    <w:rsid w:val="00501013"/>
    <w:rsid w:val="00501F9F"/>
    <w:rsid w:val="00502317"/>
    <w:rsid w:val="005036BE"/>
    <w:rsid w:val="0050466C"/>
    <w:rsid w:val="00504D8E"/>
    <w:rsid w:val="00505D68"/>
    <w:rsid w:val="00506266"/>
    <w:rsid w:val="0050651A"/>
    <w:rsid w:val="00506C41"/>
    <w:rsid w:val="00506DD2"/>
    <w:rsid w:val="00506EB6"/>
    <w:rsid w:val="00507032"/>
    <w:rsid w:val="00507208"/>
    <w:rsid w:val="00507826"/>
    <w:rsid w:val="00507ABC"/>
    <w:rsid w:val="00510354"/>
    <w:rsid w:val="005106AD"/>
    <w:rsid w:val="0051297D"/>
    <w:rsid w:val="00512B08"/>
    <w:rsid w:val="00512CCF"/>
    <w:rsid w:val="00513726"/>
    <w:rsid w:val="0051410A"/>
    <w:rsid w:val="00514187"/>
    <w:rsid w:val="00514412"/>
    <w:rsid w:val="00514787"/>
    <w:rsid w:val="005151D1"/>
    <w:rsid w:val="00516E13"/>
    <w:rsid w:val="005178DC"/>
    <w:rsid w:val="00517BF7"/>
    <w:rsid w:val="00517D89"/>
    <w:rsid w:val="005202FA"/>
    <w:rsid w:val="005221CF"/>
    <w:rsid w:val="00522380"/>
    <w:rsid w:val="00522CFB"/>
    <w:rsid w:val="00524E6D"/>
    <w:rsid w:val="005263F4"/>
    <w:rsid w:val="00526779"/>
    <w:rsid w:val="00527D17"/>
    <w:rsid w:val="0053009D"/>
    <w:rsid w:val="00530393"/>
    <w:rsid w:val="0053092F"/>
    <w:rsid w:val="00530CA5"/>
    <w:rsid w:val="00531347"/>
    <w:rsid w:val="00531650"/>
    <w:rsid w:val="00531C81"/>
    <w:rsid w:val="00531E8E"/>
    <w:rsid w:val="0053384A"/>
    <w:rsid w:val="00533ABC"/>
    <w:rsid w:val="00535266"/>
    <w:rsid w:val="00535B0A"/>
    <w:rsid w:val="00536AB3"/>
    <w:rsid w:val="00537BC7"/>
    <w:rsid w:val="00537D2E"/>
    <w:rsid w:val="0054097B"/>
    <w:rsid w:val="00541619"/>
    <w:rsid w:val="00541988"/>
    <w:rsid w:val="00541D7E"/>
    <w:rsid w:val="00542C37"/>
    <w:rsid w:val="0054399B"/>
    <w:rsid w:val="005440A1"/>
    <w:rsid w:val="0054614E"/>
    <w:rsid w:val="005468DE"/>
    <w:rsid w:val="00550AE9"/>
    <w:rsid w:val="00551270"/>
    <w:rsid w:val="00551341"/>
    <w:rsid w:val="005513CF"/>
    <w:rsid w:val="00551FA3"/>
    <w:rsid w:val="00552DB4"/>
    <w:rsid w:val="00553972"/>
    <w:rsid w:val="005539DB"/>
    <w:rsid w:val="00553F33"/>
    <w:rsid w:val="00554431"/>
    <w:rsid w:val="00554FD1"/>
    <w:rsid w:val="00555242"/>
    <w:rsid w:val="00556116"/>
    <w:rsid w:val="00556B24"/>
    <w:rsid w:val="00556D29"/>
    <w:rsid w:val="005573C5"/>
    <w:rsid w:val="00557CC9"/>
    <w:rsid w:val="00557E4E"/>
    <w:rsid w:val="0056074D"/>
    <w:rsid w:val="00561131"/>
    <w:rsid w:val="005611C2"/>
    <w:rsid w:val="00561B2B"/>
    <w:rsid w:val="005630FA"/>
    <w:rsid w:val="0056374E"/>
    <w:rsid w:val="005637EE"/>
    <w:rsid w:val="00563C5B"/>
    <w:rsid w:val="00564C94"/>
    <w:rsid w:val="005657B8"/>
    <w:rsid w:val="00565F4B"/>
    <w:rsid w:val="00566498"/>
    <w:rsid w:val="00566602"/>
    <w:rsid w:val="00566D46"/>
    <w:rsid w:val="00570923"/>
    <w:rsid w:val="0057094D"/>
    <w:rsid w:val="0057237D"/>
    <w:rsid w:val="00572462"/>
    <w:rsid w:val="005730CF"/>
    <w:rsid w:val="0057739B"/>
    <w:rsid w:val="0057752B"/>
    <w:rsid w:val="00577912"/>
    <w:rsid w:val="00577A8C"/>
    <w:rsid w:val="005802F0"/>
    <w:rsid w:val="005804BF"/>
    <w:rsid w:val="005810C6"/>
    <w:rsid w:val="005821FC"/>
    <w:rsid w:val="005834D8"/>
    <w:rsid w:val="005838C7"/>
    <w:rsid w:val="005851A4"/>
    <w:rsid w:val="00585D7E"/>
    <w:rsid w:val="00585EC9"/>
    <w:rsid w:val="00585F22"/>
    <w:rsid w:val="00586294"/>
    <w:rsid w:val="00587B8B"/>
    <w:rsid w:val="00590496"/>
    <w:rsid w:val="00591A2D"/>
    <w:rsid w:val="00592006"/>
    <w:rsid w:val="0059262A"/>
    <w:rsid w:val="005942C3"/>
    <w:rsid w:val="00594954"/>
    <w:rsid w:val="00595DA9"/>
    <w:rsid w:val="00596FE5"/>
    <w:rsid w:val="00597D98"/>
    <w:rsid w:val="005A099F"/>
    <w:rsid w:val="005A0CD2"/>
    <w:rsid w:val="005A1F93"/>
    <w:rsid w:val="005A27C0"/>
    <w:rsid w:val="005A44E6"/>
    <w:rsid w:val="005A4D90"/>
    <w:rsid w:val="005A5A8B"/>
    <w:rsid w:val="005A5E49"/>
    <w:rsid w:val="005A6527"/>
    <w:rsid w:val="005B0515"/>
    <w:rsid w:val="005B0C1F"/>
    <w:rsid w:val="005B1C89"/>
    <w:rsid w:val="005B1DFC"/>
    <w:rsid w:val="005B1F0E"/>
    <w:rsid w:val="005B217A"/>
    <w:rsid w:val="005B2634"/>
    <w:rsid w:val="005B2A07"/>
    <w:rsid w:val="005B375D"/>
    <w:rsid w:val="005B3B71"/>
    <w:rsid w:val="005B4CAB"/>
    <w:rsid w:val="005B548D"/>
    <w:rsid w:val="005B5B3C"/>
    <w:rsid w:val="005B6736"/>
    <w:rsid w:val="005B7C88"/>
    <w:rsid w:val="005C0ABD"/>
    <w:rsid w:val="005C12CA"/>
    <w:rsid w:val="005C1A35"/>
    <w:rsid w:val="005C1E5A"/>
    <w:rsid w:val="005C281E"/>
    <w:rsid w:val="005C2D11"/>
    <w:rsid w:val="005C414B"/>
    <w:rsid w:val="005C46C6"/>
    <w:rsid w:val="005C47F5"/>
    <w:rsid w:val="005C49ED"/>
    <w:rsid w:val="005C4A92"/>
    <w:rsid w:val="005C4C09"/>
    <w:rsid w:val="005C4C4F"/>
    <w:rsid w:val="005C55EE"/>
    <w:rsid w:val="005C6BAB"/>
    <w:rsid w:val="005C6EC2"/>
    <w:rsid w:val="005C737F"/>
    <w:rsid w:val="005D00FE"/>
    <w:rsid w:val="005D1C7A"/>
    <w:rsid w:val="005D3E9A"/>
    <w:rsid w:val="005D4856"/>
    <w:rsid w:val="005D65F4"/>
    <w:rsid w:val="005D7819"/>
    <w:rsid w:val="005E0FE5"/>
    <w:rsid w:val="005E167C"/>
    <w:rsid w:val="005E1D57"/>
    <w:rsid w:val="005E1D7E"/>
    <w:rsid w:val="005E26D6"/>
    <w:rsid w:val="005E3123"/>
    <w:rsid w:val="005E50D0"/>
    <w:rsid w:val="005E5516"/>
    <w:rsid w:val="005E6811"/>
    <w:rsid w:val="005E6CCB"/>
    <w:rsid w:val="005E6DAE"/>
    <w:rsid w:val="005E7F46"/>
    <w:rsid w:val="005F0B30"/>
    <w:rsid w:val="005F277C"/>
    <w:rsid w:val="005F2CFD"/>
    <w:rsid w:val="005F39D9"/>
    <w:rsid w:val="005F3AB9"/>
    <w:rsid w:val="005F4693"/>
    <w:rsid w:val="005F4C23"/>
    <w:rsid w:val="005F4D61"/>
    <w:rsid w:val="005F5802"/>
    <w:rsid w:val="005F5F73"/>
    <w:rsid w:val="005F68E3"/>
    <w:rsid w:val="005F7D78"/>
    <w:rsid w:val="006014DF"/>
    <w:rsid w:val="00601E1B"/>
    <w:rsid w:val="006020F3"/>
    <w:rsid w:val="006023DF"/>
    <w:rsid w:val="00602F7E"/>
    <w:rsid w:val="006030BD"/>
    <w:rsid w:val="0060332A"/>
    <w:rsid w:val="00603D11"/>
    <w:rsid w:val="00603D38"/>
    <w:rsid w:val="00604939"/>
    <w:rsid w:val="00606DB7"/>
    <w:rsid w:val="0060736C"/>
    <w:rsid w:val="0060742B"/>
    <w:rsid w:val="0060774B"/>
    <w:rsid w:val="00607CBF"/>
    <w:rsid w:val="006107FF"/>
    <w:rsid w:val="00611BB6"/>
    <w:rsid w:val="00611CFC"/>
    <w:rsid w:val="00613022"/>
    <w:rsid w:val="00613AF6"/>
    <w:rsid w:val="00614056"/>
    <w:rsid w:val="00614179"/>
    <w:rsid w:val="006143D6"/>
    <w:rsid w:val="00614E68"/>
    <w:rsid w:val="00616BCF"/>
    <w:rsid w:val="00617508"/>
    <w:rsid w:val="00617C4F"/>
    <w:rsid w:val="006205E5"/>
    <w:rsid w:val="006209DE"/>
    <w:rsid w:val="00621A3A"/>
    <w:rsid w:val="00622421"/>
    <w:rsid w:val="006243D7"/>
    <w:rsid w:val="0062465B"/>
    <w:rsid w:val="00624664"/>
    <w:rsid w:val="00624C54"/>
    <w:rsid w:val="00625D05"/>
    <w:rsid w:val="00625EB6"/>
    <w:rsid w:val="0062698F"/>
    <w:rsid w:val="00626B39"/>
    <w:rsid w:val="00626D7F"/>
    <w:rsid w:val="00627380"/>
    <w:rsid w:val="006278CE"/>
    <w:rsid w:val="00627F38"/>
    <w:rsid w:val="00630460"/>
    <w:rsid w:val="006316BD"/>
    <w:rsid w:val="0063192D"/>
    <w:rsid w:val="00631A81"/>
    <w:rsid w:val="00631D02"/>
    <w:rsid w:val="00632D54"/>
    <w:rsid w:val="0063368D"/>
    <w:rsid w:val="00633DC5"/>
    <w:rsid w:val="00635AC5"/>
    <w:rsid w:val="00635B81"/>
    <w:rsid w:val="00635E28"/>
    <w:rsid w:val="00636139"/>
    <w:rsid w:val="006375EC"/>
    <w:rsid w:val="006400B2"/>
    <w:rsid w:val="00640DAD"/>
    <w:rsid w:val="006414A6"/>
    <w:rsid w:val="00641BBB"/>
    <w:rsid w:val="006429C2"/>
    <w:rsid w:val="0064304F"/>
    <w:rsid w:val="006430E6"/>
    <w:rsid w:val="006441B4"/>
    <w:rsid w:val="00644460"/>
    <w:rsid w:val="00645D44"/>
    <w:rsid w:val="006469BF"/>
    <w:rsid w:val="00647069"/>
    <w:rsid w:val="006503D0"/>
    <w:rsid w:val="00650A0D"/>
    <w:rsid w:val="006523E8"/>
    <w:rsid w:val="00653E14"/>
    <w:rsid w:val="006542B8"/>
    <w:rsid w:val="00654591"/>
    <w:rsid w:val="006550BD"/>
    <w:rsid w:val="006550C1"/>
    <w:rsid w:val="00655FFE"/>
    <w:rsid w:val="006568AB"/>
    <w:rsid w:val="00656903"/>
    <w:rsid w:val="0065706C"/>
    <w:rsid w:val="0065720B"/>
    <w:rsid w:val="006574BC"/>
    <w:rsid w:val="0065794C"/>
    <w:rsid w:val="00660251"/>
    <w:rsid w:val="00660BA7"/>
    <w:rsid w:val="00660F6B"/>
    <w:rsid w:val="00662939"/>
    <w:rsid w:val="00662AFB"/>
    <w:rsid w:val="00663541"/>
    <w:rsid w:val="00663E75"/>
    <w:rsid w:val="006647BC"/>
    <w:rsid w:val="006651EF"/>
    <w:rsid w:val="00665E50"/>
    <w:rsid w:val="00666510"/>
    <w:rsid w:val="00666A3A"/>
    <w:rsid w:val="0066705F"/>
    <w:rsid w:val="00667512"/>
    <w:rsid w:val="0067110E"/>
    <w:rsid w:val="00672A77"/>
    <w:rsid w:val="00672F7A"/>
    <w:rsid w:val="0067357B"/>
    <w:rsid w:val="0067468C"/>
    <w:rsid w:val="00674C6B"/>
    <w:rsid w:val="00674EE5"/>
    <w:rsid w:val="00675106"/>
    <w:rsid w:val="00675589"/>
    <w:rsid w:val="00675674"/>
    <w:rsid w:val="006761B9"/>
    <w:rsid w:val="00676EB3"/>
    <w:rsid w:val="00677CA3"/>
    <w:rsid w:val="00677CAA"/>
    <w:rsid w:val="00680FBC"/>
    <w:rsid w:val="00682033"/>
    <w:rsid w:val="00683BD9"/>
    <w:rsid w:val="00683F6D"/>
    <w:rsid w:val="006852DB"/>
    <w:rsid w:val="006861CC"/>
    <w:rsid w:val="0068643A"/>
    <w:rsid w:val="00686448"/>
    <w:rsid w:val="006864B4"/>
    <w:rsid w:val="006866AB"/>
    <w:rsid w:val="006869D8"/>
    <w:rsid w:val="00686B7A"/>
    <w:rsid w:val="00687C14"/>
    <w:rsid w:val="00690193"/>
    <w:rsid w:val="00690F59"/>
    <w:rsid w:val="00691E55"/>
    <w:rsid w:val="00692DBC"/>
    <w:rsid w:val="00693161"/>
    <w:rsid w:val="00693D6B"/>
    <w:rsid w:val="00694AEB"/>
    <w:rsid w:val="00695578"/>
    <w:rsid w:val="00695FBB"/>
    <w:rsid w:val="006969C7"/>
    <w:rsid w:val="006971C3"/>
    <w:rsid w:val="006A1489"/>
    <w:rsid w:val="006A17AC"/>
    <w:rsid w:val="006A2782"/>
    <w:rsid w:val="006A3D36"/>
    <w:rsid w:val="006A42B9"/>
    <w:rsid w:val="006A55DB"/>
    <w:rsid w:val="006A5D48"/>
    <w:rsid w:val="006A7207"/>
    <w:rsid w:val="006A737D"/>
    <w:rsid w:val="006A7429"/>
    <w:rsid w:val="006A7F2F"/>
    <w:rsid w:val="006B0071"/>
    <w:rsid w:val="006B069B"/>
    <w:rsid w:val="006B0C61"/>
    <w:rsid w:val="006B1B68"/>
    <w:rsid w:val="006B1F33"/>
    <w:rsid w:val="006B257F"/>
    <w:rsid w:val="006B2C1C"/>
    <w:rsid w:val="006B37B8"/>
    <w:rsid w:val="006B3C13"/>
    <w:rsid w:val="006B43E7"/>
    <w:rsid w:val="006B71BA"/>
    <w:rsid w:val="006B776F"/>
    <w:rsid w:val="006B783C"/>
    <w:rsid w:val="006C034A"/>
    <w:rsid w:val="006C0DB7"/>
    <w:rsid w:val="006C1F33"/>
    <w:rsid w:val="006C218E"/>
    <w:rsid w:val="006C241A"/>
    <w:rsid w:val="006C2D27"/>
    <w:rsid w:val="006C390E"/>
    <w:rsid w:val="006C4DD7"/>
    <w:rsid w:val="006C61DD"/>
    <w:rsid w:val="006C6A7C"/>
    <w:rsid w:val="006C6FBA"/>
    <w:rsid w:val="006C70EB"/>
    <w:rsid w:val="006C7151"/>
    <w:rsid w:val="006C7F2E"/>
    <w:rsid w:val="006D03AC"/>
    <w:rsid w:val="006D059D"/>
    <w:rsid w:val="006D0654"/>
    <w:rsid w:val="006D2639"/>
    <w:rsid w:val="006D2F71"/>
    <w:rsid w:val="006D33DF"/>
    <w:rsid w:val="006D45B6"/>
    <w:rsid w:val="006D5297"/>
    <w:rsid w:val="006D53C5"/>
    <w:rsid w:val="006D5A23"/>
    <w:rsid w:val="006D65F6"/>
    <w:rsid w:val="006D6A6F"/>
    <w:rsid w:val="006D6A77"/>
    <w:rsid w:val="006E05D1"/>
    <w:rsid w:val="006E0FAB"/>
    <w:rsid w:val="006E1867"/>
    <w:rsid w:val="006E1D48"/>
    <w:rsid w:val="006E2754"/>
    <w:rsid w:val="006E333B"/>
    <w:rsid w:val="006E333F"/>
    <w:rsid w:val="006E3520"/>
    <w:rsid w:val="006E37FC"/>
    <w:rsid w:val="006E39F6"/>
    <w:rsid w:val="006E5245"/>
    <w:rsid w:val="006E66CC"/>
    <w:rsid w:val="006F04BD"/>
    <w:rsid w:val="006F0C44"/>
    <w:rsid w:val="006F0D94"/>
    <w:rsid w:val="006F1447"/>
    <w:rsid w:val="006F17E6"/>
    <w:rsid w:val="006F1ECB"/>
    <w:rsid w:val="006F3A28"/>
    <w:rsid w:val="006F3E29"/>
    <w:rsid w:val="006F50F6"/>
    <w:rsid w:val="006F51C9"/>
    <w:rsid w:val="006F63E5"/>
    <w:rsid w:val="007014E2"/>
    <w:rsid w:val="00701F35"/>
    <w:rsid w:val="00702A23"/>
    <w:rsid w:val="00703344"/>
    <w:rsid w:val="00703BF9"/>
    <w:rsid w:val="00705399"/>
    <w:rsid w:val="00707411"/>
    <w:rsid w:val="0071082A"/>
    <w:rsid w:val="00710975"/>
    <w:rsid w:val="00710E1C"/>
    <w:rsid w:val="00711472"/>
    <w:rsid w:val="007118F3"/>
    <w:rsid w:val="00711A6A"/>
    <w:rsid w:val="00711A7A"/>
    <w:rsid w:val="00711BA1"/>
    <w:rsid w:val="0071335F"/>
    <w:rsid w:val="007134E0"/>
    <w:rsid w:val="00713EEC"/>
    <w:rsid w:val="00714831"/>
    <w:rsid w:val="007159C3"/>
    <w:rsid w:val="00715EF4"/>
    <w:rsid w:val="007174A8"/>
    <w:rsid w:val="00717E99"/>
    <w:rsid w:val="00720DEE"/>
    <w:rsid w:val="00722517"/>
    <w:rsid w:val="00723190"/>
    <w:rsid w:val="007237B9"/>
    <w:rsid w:val="00723CB5"/>
    <w:rsid w:val="0072471A"/>
    <w:rsid w:val="00724AA7"/>
    <w:rsid w:val="007253DB"/>
    <w:rsid w:val="0072597C"/>
    <w:rsid w:val="00725B52"/>
    <w:rsid w:val="00725C38"/>
    <w:rsid w:val="00727254"/>
    <w:rsid w:val="00727ACE"/>
    <w:rsid w:val="00727ED9"/>
    <w:rsid w:val="00730C43"/>
    <w:rsid w:val="00732059"/>
    <w:rsid w:val="007341EC"/>
    <w:rsid w:val="007347D5"/>
    <w:rsid w:val="00734DE6"/>
    <w:rsid w:val="00734E2B"/>
    <w:rsid w:val="007352B0"/>
    <w:rsid w:val="007357DF"/>
    <w:rsid w:val="00736675"/>
    <w:rsid w:val="0073675A"/>
    <w:rsid w:val="007369B0"/>
    <w:rsid w:val="00736E05"/>
    <w:rsid w:val="0073713B"/>
    <w:rsid w:val="007376D4"/>
    <w:rsid w:val="0074034B"/>
    <w:rsid w:val="007406A0"/>
    <w:rsid w:val="00740E46"/>
    <w:rsid w:val="00741AF9"/>
    <w:rsid w:val="00741D4D"/>
    <w:rsid w:val="0074250C"/>
    <w:rsid w:val="00742A58"/>
    <w:rsid w:val="00742DE8"/>
    <w:rsid w:val="00743962"/>
    <w:rsid w:val="00743B18"/>
    <w:rsid w:val="00743F5E"/>
    <w:rsid w:val="00744588"/>
    <w:rsid w:val="0074555C"/>
    <w:rsid w:val="00745F7A"/>
    <w:rsid w:val="00746D4A"/>
    <w:rsid w:val="00747D5B"/>
    <w:rsid w:val="00750780"/>
    <w:rsid w:val="00750BB0"/>
    <w:rsid w:val="00750C55"/>
    <w:rsid w:val="0075110D"/>
    <w:rsid w:val="007525ED"/>
    <w:rsid w:val="00753EF0"/>
    <w:rsid w:val="007540E0"/>
    <w:rsid w:val="007549BA"/>
    <w:rsid w:val="007555A3"/>
    <w:rsid w:val="00755939"/>
    <w:rsid w:val="00756D7B"/>
    <w:rsid w:val="00757F90"/>
    <w:rsid w:val="00760260"/>
    <w:rsid w:val="0076044A"/>
    <w:rsid w:val="00760BD2"/>
    <w:rsid w:val="00761297"/>
    <w:rsid w:val="007627D4"/>
    <w:rsid w:val="00763AEC"/>
    <w:rsid w:val="007640EA"/>
    <w:rsid w:val="00766955"/>
    <w:rsid w:val="00766ACC"/>
    <w:rsid w:val="00766F4A"/>
    <w:rsid w:val="007678EE"/>
    <w:rsid w:val="00770119"/>
    <w:rsid w:val="00771B9C"/>
    <w:rsid w:val="00774389"/>
    <w:rsid w:val="007748E2"/>
    <w:rsid w:val="007752A7"/>
    <w:rsid w:val="00775560"/>
    <w:rsid w:val="00776185"/>
    <w:rsid w:val="0077657B"/>
    <w:rsid w:val="0077719F"/>
    <w:rsid w:val="00781254"/>
    <w:rsid w:val="00782746"/>
    <w:rsid w:val="00782CF4"/>
    <w:rsid w:val="00782D18"/>
    <w:rsid w:val="0078336D"/>
    <w:rsid w:val="00783F64"/>
    <w:rsid w:val="0078527F"/>
    <w:rsid w:val="00785995"/>
    <w:rsid w:val="00785E6B"/>
    <w:rsid w:val="0078644D"/>
    <w:rsid w:val="00786B79"/>
    <w:rsid w:val="00787512"/>
    <w:rsid w:val="0079014C"/>
    <w:rsid w:val="00790446"/>
    <w:rsid w:val="007907D0"/>
    <w:rsid w:val="007911A9"/>
    <w:rsid w:val="007917C7"/>
    <w:rsid w:val="007926F8"/>
    <w:rsid w:val="00792847"/>
    <w:rsid w:val="00793197"/>
    <w:rsid w:val="00793679"/>
    <w:rsid w:val="00793770"/>
    <w:rsid w:val="00793B74"/>
    <w:rsid w:val="00795D65"/>
    <w:rsid w:val="007967C6"/>
    <w:rsid w:val="007968E1"/>
    <w:rsid w:val="00796FB2"/>
    <w:rsid w:val="007976BF"/>
    <w:rsid w:val="0079790A"/>
    <w:rsid w:val="00797E99"/>
    <w:rsid w:val="007A00D3"/>
    <w:rsid w:val="007A02FC"/>
    <w:rsid w:val="007A0506"/>
    <w:rsid w:val="007A1F01"/>
    <w:rsid w:val="007A21EF"/>
    <w:rsid w:val="007A22C0"/>
    <w:rsid w:val="007A27C6"/>
    <w:rsid w:val="007A27E2"/>
    <w:rsid w:val="007A314B"/>
    <w:rsid w:val="007A3624"/>
    <w:rsid w:val="007A3D81"/>
    <w:rsid w:val="007A4708"/>
    <w:rsid w:val="007A5E0B"/>
    <w:rsid w:val="007A73F6"/>
    <w:rsid w:val="007A74CF"/>
    <w:rsid w:val="007A7B69"/>
    <w:rsid w:val="007B0DDC"/>
    <w:rsid w:val="007B13FE"/>
    <w:rsid w:val="007B24D1"/>
    <w:rsid w:val="007B2692"/>
    <w:rsid w:val="007B2C63"/>
    <w:rsid w:val="007B2EE1"/>
    <w:rsid w:val="007B3C72"/>
    <w:rsid w:val="007B47ED"/>
    <w:rsid w:val="007B4A45"/>
    <w:rsid w:val="007B57F5"/>
    <w:rsid w:val="007B5FA4"/>
    <w:rsid w:val="007B5FA9"/>
    <w:rsid w:val="007B74ED"/>
    <w:rsid w:val="007B7BBC"/>
    <w:rsid w:val="007B7DAE"/>
    <w:rsid w:val="007C1314"/>
    <w:rsid w:val="007C1B99"/>
    <w:rsid w:val="007C1E50"/>
    <w:rsid w:val="007C2325"/>
    <w:rsid w:val="007C251C"/>
    <w:rsid w:val="007C268C"/>
    <w:rsid w:val="007C2845"/>
    <w:rsid w:val="007C308F"/>
    <w:rsid w:val="007C3762"/>
    <w:rsid w:val="007C403F"/>
    <w:rsid w:val="007C50CC"/>
    <w:rsid w:val="007C5243"/>
    <w:rsid w:val="007C6145"/>
    <w:rsid w:val="007C62F9"/>
    <w:rsid w:val="007C6676"/>
    <w:rsid w:val="007C7136"/>
    <w:rsid w:val="007C7FDA"/>
    <w:rsid w:val="007D0353"/>
    <w:rsid w:val="007D0905"/>
    <w:rsid w:val="007D1642"/>
    <w:rsid w:val="007D2C71"/>
    <w:rsid w:val="007D38A1"/>
    <w:rsid w:val="007D3EA3"/>
    <w:rsid w:val="007D455F"/>
    <w:rsid w:val="007D5AC9"/>
    <w:rsid w:val="007E0428"/>
    <w:rsid w:val="007E04D6"/>
    <w:rsid w:val="007E0736"/>
    <w:rsid w:val="007E20DD"/>
    <w:rsid w:val="007E2198"/>
    <w:rsid w:val="007E2F6D"/>
    <w:rsid w:val="007E338F"/>
    <w:rsid w:val="007E34F8"/>
    <w:rsid w:val="007E36A2"/>
    <w:rsid w:val="007E3B48"/>
    <w:rsid w:val="007E5F48"/>
    <w:rsid w:val="007E71DB"/>
    <w:rsid w:val="007E73DE"/>
    <w:rsid w:val="007E769E"/>
    <w:rsid w:val="007E780E"/>
    <w:rsid w:val="007F07A1"/>
    <w:rsid w:val="007F0B76"/>
    <w:rsid w:val="007F0EA4"/>
    <w:rsid w:val="007F0ECC"/>
    <w:rsid w:val="007F28D9"/>
    <w:rsid w:val="007F3706"/>
    <w:rsid w:val="007F4081"/>
    <w:rsid w:val="007F4FFD"/>
    <w:rsid w:val="007F5995"/>
    <w:rsid w:val="007F6DBF"/>
    <w:rsid w:val="007F7C1A"/>
    <w:rsid w:val="008013EB"/>
    <w:rsid w:val="00803073"/>
    <w:rsid w:val="0080374D"/>
    <w:rsid w:val="0080457C"/>
    <w:rsid w:val="008046B6"/>
    <w:rsid w:val="008046CD"/>
    <w:rsid w:val="00805E71"/>
    <w:rsid w:val="0080680C"/>
    <w:rsid w:val="00807082"/>
    <w:rsid w:val="008074AC"/>
    <w:rsid w:val="0080773D"/>
    <w:rsid w:val="00811212"/>
    <w:rsid w:val="008127E7"/>
    <w:rsid w:val="0081443F"/>
    <w:rsid w:val="00815591"/>
    <w:rsid w:val="008155A4"/>
    <w:rsid w:val="00815D1A"/>
    <w:rsid w:val="00816C98"/>
    <w:rsid w:val="00820667"/>
    <w:rsid w:val="00820D54"/>
    <w:rsid w:val="0082100E"/>
    <w:rsid w:val="008213BC"/>
    <w:rsid w:val="008223D5"/>
    <w:rsid w:val="00822A27"/>
    <w:rsid w:val="00822CE4"/>
    <w:rsid w:val="00823118"/>
    <w:rsid w:val="0082357E"/>
    <w:rsid w:val="0082399C"/>
    <w:rsid w:val="00824A08"/>
    <w:rsid w:val="00824BF9"/>
    <w:rsid w:val="00825B94"/>
    <w:rsid w:val="00826486"/>
    <w:rsid w:val="008265AA"/>
    <w:rsid w:val="008303A2"/>
    <w:rsid w:val="008312D9"/>
    <w:rsid w:val="00831BF5"/>
    <w:rsid w:val="008322BD"/>
    <w:rsid w:val="00832B21"/>
    <w:rsid w:val="008336AE"/>
    <w:rsid w:val="008339A6"/>
    <w:rsid w:val="00834149"/>
    <w:rsid w:val="0083477C"/>
    <w:rsid w:val="008350EE"/>
    <w:rsid w:val="008356BD"/>
    <w:rsid w:val="00836B3F"/>
    <w:rsid w:val="00837827"/>
    <w:rsid w:val="0083783D"/>
    <w:rsid w:val="00840324"/>
    <w:rsid w:val="008411A5"/>
    <w:rsid w:val="00841EDE"/>
    <w:rsid w:val="00842DF3"/>
    <w:rsid w:val="00843728"/>
    <w:rsid w:val="0084433E"/>
    <w:rsid w:val="00845747"/>
    <w:rsid w:val="00845B75"/>
    <w:rsid w:val="00845EE9"/>
    <w:rsid w:val="00847CE4"/>
    <w:rsid w:val="00850775"/>
    <w:rsid w:val="00850D1C"/>
    <w:rsid w:val="00853758"/>
    <w:rsid w:val="00853A3A"/>
    <w:rsid w:val="00854316"/>
    <w:rsid w:val="008554B2"/>
    <w:rsid w:val="00856669"/>
    <w:rsid w:val="00857345"/>
    <w:rsid w:val="0085755B"/>
    <w:rsid w:val="00857927"/>
    <w:rsid w:val="00857A1A"/>
    <w:rsid w:val="00860A73"/>
    <w:rsid w:val="00860C53"/>
    <w:rsid w:val="00862774"/>
    <w:rsid w:val="00862DD1"/>
    <w:rsid w:val="008638D6"/>
    <w:rsid w:val="00864195"/>
    <w:rsid w:val="008648F0"/>
    <w:rsid w:val="00864CAF"/>
    <w:rsid w:val="00865911"/>
    <w:rsid w:val="00865987"/>
    <w:rsid w:val="00866C05"/>
    <w:rsid w:val="00867478"/>
    <w:rsid w:val="008674B7"/>
    <w:rsid w:val="00870187"/>
    <w:rsid w:val="008702D7"/>
    <w:rsid w:val="00871838"/>
    <w:rsid w:val="008726C5"/>
    <w:rsid w:val="00875925"/>
    <w:rsid w:val="0087615D"/>
    <w:rsid w:val="008802F3"/>
    <w:rsid w:val="008821D3"/>
    <w:rsid w:val="00882702"/>
    <w:rsid w:val="0088334F"/>
    <w:rsid w:val="008839D6"/>
    <w:rsid w:val="00883A93"/>
    <w:rsid w:val="00883F71"/>
    <w:rsid w:val="00884500"/>
    <w:rsid w:val="00884AD1"/>
    <w:rsid w:val="008869D8"/>
    <w:rsid w:val="00886E8E"/>
    <w:rsid w:val="00890D62"/>
    <w:rsid w:val="0089274B"/>
    <w:rsid w:val="00893950"/>
    <w:rsid w:val="00894605"/>
    <w:rsid w:val="00895B3F"/>
    <w:rsid w:val="00895C6E"/>
    <w:rsid w:val="00895D6A"/>
    <w:rsid w:val="00896DE1"/>
    <w:rsid w:val="00897708"/>
    <w:rsid w:val="008A0AB2"/>
    <w:rsid w:val="008A1295"/>
    <w:rsid w:val="008A2658"/>
    <w:rsid w:val="008A35B2"/>
    <w:rsid w:val="008A39C1"/>
    <w:rsid w:val="008A43D2"/>
    <w:rsid w:val="008A487E"/>
    <w:rsid w:val="008A4C56"/>
    <w:rsid w:val="008A4FCD"/>
    <w:rsid w:val="008A5283"/>
    <w:rsid w:val="008A53EF"/>
    <w:rsid w:val="008A55E0"/>
    <w:rsid w:val="008A5FE0"/>
    <w:rsid w:val="008A6022"/>
    <w:rsid w:val="008A65D9"/>
    <w:rsid w:val="008A6628"/>
    <w:rsid w:val="008A6F2E"/>
    <w:rsid w:val="008A755E"/>
    <w:rsid w:val="008A7C72"/>
    <w:rsid w:val="008B0265"/>
    <w:rsid w:val="008B10C0"/>
    <w:rsid w:val="008B6D86"/>
    <w:rsid w:val="008B71B1"/>
    <w:rsid w:val="008C03CB"/>
    <w:rsid w:val="008C24E2"/>
    <w:rsid w:val="008C28C9"/>
    <w:rsid w:val="008C293E"/>
    <w:rsid w:val="008C2AC0"/>
    <w:rsid w:val="008C42B3"/>
    <w:rsid w:val="008C4A44"/>
    <w:rsid w:val="008C50E8"/>
    <w:rsid w:val="008C7594"/>
    <w:rsid w:val="008C75D8"/>
    <w:rsid w:val="008D0597"/>
    <w:rsid w:val="008D0904"/>
    <w:rsid w:val="008D0EEF"/>
    <w:rsid w:val="008D1399"/>
    <w:rsid w:val="008D1F5A"/>
    <w:rsid w:val="008D2DF7"/>
    <w:rsid w:val="008D3F03"/>
    <w:rsid w:val="008D7DD5"/>
    <w:rsid w:val="008D7F03"/>
    <w:rsid w:val="008E0AD4"/>
    <w:rsid w:val="008E0B21"/>
    <w:rsid w:val="008E0FF1"/>
    <w:rsid w:val="008E2EC2"/>
    <w:rsid w:val="008E30C0"/>
    <w:rsid w:val="008E3B73"/>
    <w:rsid w:val="008E42E9"/>
    <w:rsid w:val="008E460E"/>
    <w:rsid w:val="008E4DCE"/>
    <w:rsid w:val="008E500C"/>
    <w:rsid w:val="008E5456"/>
    <w:rsid w:val="008E5BD0"/>
    <w:rsid w:val="008E6198"/>
    <w:rsid w:val="008E6482"/>
    <w:rsid w:val="008E6EFA"/>
    <w:rsid w:val="008E721A"/>
    <w:rsid w:val="008E7A22"/>
    <w:rsid w:val="008F19E1"/>
    <w:rsid w:val="008F1E73"/>
    <w:rsid w:val="008F20A7"/>
    <w:rsid w:val="008F23CC"/>
    <w:rsid w:val="008F28D2"/>
    <w:rsid w:val="008F2CB4"/>
    <w:rsid w:val="008F2D84"/>
    <w:rsid w:val="008F2D8F"/>
    <w:rsid w:val="008F2EA4"/>
    <w:rsid w:val="008F3036"/>
    <w:rsid w:val="008F422B"/>
    <w:rsid w:val="008F4777"/>
    <w:rsid w:val="008F4EE7"/>
    <w:rsid w:val="008F582F"/>
    <w:rsid w:val="008F585E"/>
    <w:rsid w:val="008F5C67"/>
    <w:rsid w:val="008F6C2B"/>
    <w:rsid w:val="00900D4F"/>
    <w:rsid w:val="00902825"/>
    <w:rsid w:val="00902B61"/>
    <w:rsid w:val="00904544"/>
    <w:rsid w:val="00904835"/>
    <w:rsid w:val="0090496A"/>
    <w:rsid w:val="00904CA9"/>
    <w:rsid w:val="00904EAB"/>
    <w:rsid w:val="00905351"/>
    <w:rsid w:val="00905E5F"/>
    <w:rsid w:val="00905E85"/>
    <w:rsid w:val="00905F9F"/>
    <w:rsid w:val="009062B6"/>
    <w:rsid w:val="0090650C"/>
    <w:rsid w:val="0090698F"/>
    <w:rsid w:val="00906F22"/>
    <w:rsid w:val="0090780E"/>
    <w:rsid w:val="009100D4"/>
    <w:rsid w:val="0091074E"/>
    <w:rsid w:val="009108F8"/>
    <w:rsid w:val="0091221D"/>
    <w:rsid w:val="00912576"/>
    <w:rsid w:val="00912667"/>
    <w:rsid w:val="009128DC"/>
    <w:rsid w:val="009130A2"/>
    <w:rsid w:val="00913BCB"/>
    <w:rsid w:val="009148FE"/>
    <w:rsid w:val="0091640A"/>
    <w:rsid w:val="00916655"/>
    <w:rsid w:val="00917261"/>
    <w:rsid w:val="00920069"/>
    <w:rsid w:val="0092046D"/>
    <w:rsid w:val="00920B53"/>
    <w:rsid w:val="00920DD1"/>
    <w:rsid w:val="009214EB"/>
    <w:rsid w:val="00921918"/>
    <w:rsid w:val="00921D63"/>
    <w:rsid w:val="009243EA"/>
    <w:rsid w:val="00924BF0"/>
    <w:rsid w:val="00925678"/>
    <w:rsid w:val="00925FAB"/>
    <w:rsid w:val="00926225"/>
    <w:rsid w:val="00926F84"/>
    <w:rsid w:val="009274F3"/>
    <w:rsid w:val="00927845"/>
    <w:rsid w:val="0093009D"/>
    <w:rsid w:val="0093198D"/>
    <w:rsid w:val="0093259A"/>
    <w:rsid w:val="00932C71"/>
    <w:rsid w:val="00932E3C"/>
    <w:rsid w:val="009353F2"/>
    <w:rsid w:val="00935AD9"/>
    <w:rsid w:val="0093684C"/>
    <w:rsid w:val="00937801"/>
    <w:rsid w:val="009405B8"/>
    <w:rsid w:val="00940678"/>
    <w:rsid w:val="00940EBD"/>
    <w:rsid w:val="00940FB3"/>
    <w:rsid w:val="009416D9"/>
    <w:rsid w:val="00942188"/>
    <w:rsid w:val="00943AB5"/>
    <w:rsid w:val="00944493"/>
    <w:rsid w:val="009444B9"/>
    <w:rsid w:val="0094486B"/>
    <w:rsid w:val="00944CD2"/>
    <w:rsid w:val="00944F85"/>
    <w:rsid w:val="0094540B"/>
    <w:rsid w:val="00946CD3"/>
    <w:rsid w:val="0094739D"/>
    <w:rsid w:val="00951094"/>
    <w:rsid w:val="009514DA"/>
    <w:rsid w:val="00951931"/>
    <w:rsid w:val="00951D7E"/>
    <w:rsid w:val="00951F6F"/>
    <w:rsid w:val="00952044"/>
    <w:rsid w:val="0095309E"/>
    <w:rsid w:val="00953264"/>
    <w:rsid w:val="00954035"/>
    <w:rsid w:val="00954DDF"/>
    <w:rsid w:val="00954E5C"/>
    <w:rsid w:val="00955281"/>
    <w:rsid w:val="0095542D"/>
    <w:rsid w:val="00955EBF"/>
    <w:rsid w:val="009561C5"/>
    <w:rsid w:val="009567DE"/>
    <w:rsid w:val="00957221"/>
    <w:rsid w:val="00957E2A"/>
    <w:rsid w:val="00960835"/>
    <w:rsid w:val="00960A88"/>
    <w:rsid w:val="00960CE3"/>
    <w:rsid w:val="00962444"/>
    <w:rsid w:val="009631EA"/>
    <w:rsid w:val="00963DD3"/>
    <w:rsid w:val="0096437D"/>
    <w:rsid w:val="00964D47"/>
    <w:rsid w:val="00964E00"/>
    <w:rsid w:val="009653F1"/>
    <w:rsid w:val="009656A0"/>
    <w:rsid w:val="00965AE3"/>
    <w:rsid w:val="0096613A"/>
    <w:rsid w:val="00966A78"/>
    <w:rsid w:val="00967254"/>
    <w:rsid w:val="00967664"/>
    <w:rsid w:val="009703CB"/>
    <w:rsid w:val="00970DBD"/>
    <w:rsid w:val="00971667"/>
    <w:rsid w:val="00972FFC"/>
    <w:rsid w:val="00973DC9"/>
    <w:rsid w:val="0097563A"/>
    <w:rsid w:val="00975EDA"/>
    <w:rsid w:val="00976035"/>
    <w:rsid w:val="00976D7D"/>
    <w:rsid w:val="00977147"/>
    <w:rsid w:val="00977BF4"/>
    <w:rsid w:val="00980134"/>
    <w:rsid w:val="00981A3C"/>
    <w:rsid w:val="009835B4"/>
    <w:rsid w:val="0098382A"/>
    <w:rsid w:val="00983B61"/>
    <w:rsid w:val="0098408E"/>
    <w:rsid w:val="009849DE"/>
    <w:rsid w:val="00984B57"/>
    <w:rsid w:val="009854C1"/>
    <w:rsid w:val="00985629"/>
    <w:rsid w:val="00985704"/>
    <w:rsid w:val="00985ED5"/>
    <w:rsid w:val="00985F86"/>
    <w:rsid w:val="0098618C"/>
    <w:rsid w:val="009873FA"/>
    <w:rsid w:val="00987A44"/>
    <w:rsid w:val="00987B59"/>
    <w:rsid w:val="009900A0"/>
    <w:rsid w:val="009910B8"/>
    <w:rsid w:val="00992076"/>
    <w:rsid w:val="00992AE9"/>
    <w:rsid w:val="009933E0"/>
    <w:rsid w:val="0099460F"/>
    <w:rsid w:val="00994B05"/>
    <w:rsid w:val="009964F4"/>
    <w:rsid w:val="0099690C"/>
    <w:rsid w:val="0099695B"/>
    <w:rsid w:val="00996C5F"/>
    <w:rsid w:val="00997396"/>
    <w:rsid w:val="009A13CB"/>
    <w:rsid w:val="009A1920"/>
    <w:rsid w:val="009A1AAB"/>
    <w:rsid w:val="009A1E52"/>
    <w:rsid w:val="009A219C"/>
    <w:rsid w:val="009A2BFA"/>
    <w:rsid w:val="009A366D"/>
    <w:rsid w:val="009A58A0"/>
    <w:rsid w:val="009A6C1E"/>
    <w:rsid w:val="009A74AF"/>
    <w:rsid w:val="009A7701"/>
    <w:rsid w:val="009B0C53"/>
    <w:rsid w:val="009B1376"/>
    <w:rsid w:val="009B2288"/>
    <w:rsid w:val="009B292A"/>
    <w:rsid w:val="009B37B9"/>
    <w:rsid w:val="009B3F29"/>
    <w:rsid w:val="009B50FC"/>
    <w:rsid w:val="009B58F9"/>
    <w:rsid w:val="009B597D"/>
    <w:rsid w:val="009B5C54"/>
    <w:rsid w:val="009B5FA2"/>
    <w:rsid w:val="009B6304"/>
    <w:rsid w:val="009B6600"/>
    <w:rsid w:val="009B66AA"/>
    <w:rsid w:val="009B6D30"/>
    <w:rsid w:val="009C05CA"/>
    <w:rsid w:val="009C1726"/>
    <w:rsid w:val="009C2812"/>
    <w:rsid w:val="009C3314"/>
    <w:rsid w:val="009C3B26"/>
    <w:rsid w:val="009C4058"/>
    <w:rsid w:val="009C4195"/>
    <w:rsid w:val="009C6215"/>
    <w:rsid w:val="009C6FC6"/>
    <w:rsid w:val="009C7601"/>
    <w:rsid w:val="009D1039"/>
    <w:rsid w:val="009D1C2D"/>
    <w:rsid w:val="009D20F7"/>
    <w:rsid w:val="009D2E27"/>
    <w:rsid w:val="009D32DE"/>
    <w:rsid w:val="009D3C44"/>
    <w:rsid w:val="009D3F2C"/>
    <w:rsid w:val="009D52AC"/>
    <w:rsid w:val="009D53BE"/>
    <w:rsid w:val="009D57C6"/>
    <w:rsid w:val="009D57CD"/>
    <w:rsid w:val="009D5BC2"/>
    <w:rsid w:val="009D66F0"/>
    <w:rsid w:val="009D7481"/>
    <w:rsid w:val="009D7C95"/>
    <w:rsid w:val="009E10F5"/>
    <w:rsid w:val="009E117B"/>
    <w:rsid w:val="009E2134"/>
    <w:rsid w:val="009E294E"/>
    <w:rsid w:val="009E2DF5"/>
    <w:rsid w:val="009E46AF"/>
    <w:rsid w:val="009E4A18"/>
    <w:rsid w:val="009E6FD3"/>
    <w:rsid w:val="009E7BF1"/>
    <w:rsid w:val="009E7EC4"/>
    <w:rsid w:val="009F06A0"/>
    <w:rsid w:val="009F08F6"/>
    <w:rsid w:val="009F0D6B"/>
    <w:rsid w:val="009F230F"/>
    <w:rsid w:val="009F32AF"/>
    <w:rsid w:val="009F34D2"/>
    <w:rsid w:val="009F396D"/>
    <w:rsid w:val="009F4D82"/>
    <w:rsid w:val="009F5228"/>
    <w:rsid w:val="009F58DA"/>
    <w:rsid w:val="009F792A"/>
    <w:rsid w:val="00A001BD"/>
    <w:rsid w:val="00A00790"/>
    <w:rsid w:val="00A0155A"/>
    <w:rsid w:val="00A02295"/>
    <w:rsid w:val="00A02BA5"/>
    <w:rsid w:val="00A02FBF"/>
    <w:rsid w:val="00A03E23"/>
    <w:rsid w:val="00A04446"/>
    <w:rsid w:val="00A04B6F"/>
    <w:rsid w:val="00A051D4"/>
    <w:rsid w:val="00A05E6C"/>
    <w:rsid w:val="00A06A67"/>
    <w:rsid w:val="00A1216A"/>
    <w:rsid w:val="00A124AB"/>
    <w:rsid w:val="00A12CCD"/>
    <w:rsid w:val="00A13778"/>
    <w:rsid w:val="00A13DE6"/>
    <w:rsid w:val="00A145A7"/>
    <w:rsid w:val="00A15602"/>
    <w:rsid w:val="00A1576E"/>
    <w:rsid w:val="00A15F1C"/>
    <w:rsid w:val="00A177D4"/>
    <w:rsid w:val="00A20016"/>
    <w:rsid w:val="00A20973"/>
    <w:rsid w:val="00A20EB7"/>
    <w:rsid w:val="00A21095"/>
    <w:rsid w:val="00A211A3"/>
    <w:rsid w:val="00A228C5"/>
    <w:rsid w:val="00A22DC8"/>
    <w:rsid w:val="00A23606"/>
    <w:rsid w:val="00A24612"/>
    <w:rsid w:val="00A25934"/>
    <w:rsid w:val="00A25D1D"/>
    <w:rsid w:val="00A26F92"/>
    <w:rsid w:val="00A27286"/>
    <w:rsid w:val="00A277BE"/>
    <w:rsid w:val="00A27E44"/>
    <w:rsid w:val="00A303E7"/>
    <w:rsid w:val="00A30A90"/>
    <w:rsid w:val="00A30C9A"/>
    <w:rsid w:val="00A31467"/>
    <w:rsid w:val="00A3276A"/>
    <w:rsid w:val="00A32EF9"/>
    <w:rsid w:val="00A3300F"/>
    <w:rsid w:val="00A337BD"/>
    <w:rsid w:val="00A33FD3"/>
    <w:rsid w:val="00A34024"/>
    <w:rsid w:val="00A34448"/>
    <w:rsid w:val="00A35700"/>
    <w:rsid w:val="00A35B56"/>
    <w:rsid w:val="00A36844"/>
    <w:rsid w:val="00A37DDF"/>
    <w:rsid w:val="00A4092F"/>
    <w:rsid w:val="00A41370"/>
    <w:rsid w:val="00A42288"/>
    <w:rsid w:val="00A43909"/>
    <w:rsid w:val="00A444F4"/>
    <w:rsid w:val="00A44549"/>
    <w:rsid w:val="00A448D4"/>
    <w:rsid w:val="00A450A8"/>
    <w:rsid w:val="00A467DF"/>
    <w:rsid w:val="00A46E02"/>
    <w:rsid w:val="00A4718D"/>
    <w:rsid w:val="00A47287"/>
    <w:rsid w:val="00A47A8E"/>
    <w:rsid w:val="00A50C13"/>
    <w:rsid w:val="00A51998"/>
    <w:rsid w:val="00A523EA"/>
    <w:rsid w:val="00A52721"/>
    <w:rsid w:val="00A52B76"/>
    <w:rsid w:val="00A530A8"/>
    <w:rsid w:val="00A54905"/>
    <w:rsid w:val="00A55218"/>
    <w:rsid w:val="00A5587C"/>
    <w:rsid w:val="00A56EBC"/>
    <w:rsid w:val="00A57BB1"/>
    <w:rsid w:val="00A604CD"/>
    <w:rsid w:val="00A60FBC"/>
    <w:rsid w:val="00A62E0B"/>
    <w:rsid w:val="00A6640E"/>
    <w:rsid w:val="00A669A6"/>
    <w:rsid w:val="00A67605"/>
    <w:rsid w:val="00A72306"/>
    <w:rsid w:val="00A72C1B"/>
    <w:rsid w:val="00A72C80"/>
    <w:rsid w:val="00A7307F"/>
    <w:rsid w:val="00A73344"/>
    <w:rsid w:val="00A738ED"/>
    <w:rsid w:val="00A73CDA"/>
    <w:rsid w:val="00A75400"/>
    <w:rsid w:val="00A76569"/>
    <w:rsid w:val="00A76C2E"/>
    <w:rsid w:val="00A77E6E"/>
    <w:rsid w:val="00A81E77"/>
    <w:rsid w:val="00A82160"/>
    <w:rsid w:val="00A82268"/>
    <w:rsid w:val="00A83064"/>
    <w:rsid w:val="00A8374F"/>
    <w:rsid w:val="00A83A19"/>
    <w:rsid w:val="00A83BF5"/>
    <w:rsid w:val="00A84252"/>
    <w:rsid w:val="00A84CB5"/>
    <w:rsid w:val="00A85C29"/>
    <w:rsid w:val="00A86A48"/>
    <w:rsid w:val="00A87E44"/>
    <w:rsid w:val="00A90060"/>
    <w:rsid w:val="00A93200"/>
    <w:rsid w:val="00A936FC"/>
    <w:rsid w:val="00A9404F"/>
    <w:rsid w:val="00A94A95"/>
    <w:rsid w:val="00A9503E"/>
    <w:rsid w:val="00A95873"/>
    <w:rsid w:val="00A96D4D"/>
    <w:rsid w:val="00A971E1"/>
    <w:rsid w:val="00AA02A0"/>
    <w:rsid w:val="00AA05FE"/>
    <w:rsid w:val="00AA0845"/>
    <w:rsid w:val="00AA0A06"/>
    <w:rsid w:val="00AA0F86"/>
    <w:rsid w:val="00AA147C"/>
    <w:rsid w:val="00AA21F6"/>
    <w:rsid w:val="00AA27D6"/>
    <w:rsid w:val="00AA3639"/>
    <w:rsid w:val="00AA39D7"/>
    <w:rsid w:val="00AA3CE9"/>
    <w:rsid w:val="00AA4442"/>
    <w:rsid w:val="00AA46D8"/>
    <w:rsid w:val="00AA46DC"/>
    <w:rsid w:val="00AA49A6"/>
    <w:rsid w:val="00AA4E72"/>
    <w:rsid w:val="00AA5040"/>
    <w:rsid w:val="00AA5257"/>
    <w:rsid w:val="00AA5601"/>
    <w:rsid w:val="00AA6B3C"/>
    <w:rsid w:val="00AA7FEF"/>
    <w:rsid w:val="00AB00DD"/>
    <w:rsid w:val="00AB11E1"/>
    <w:rsid w:val="00AB1289"/>
    <w:rsid w:val="00AB1E15"/>
    <w:rsid w:val="00AB1EDB"/>
    <w:rsid w:val="00AB21F7"/>
    <w:rsid w:val="00AB22BC"/>
    <w:rsid w:val="00AB2A63"/>
    <w:rsid w:val="00AB2F3F"/>
    <w:rsid w:val="00AB502A"/>
    <w:rsid w:val="00AB582E"/>
    <w:rsid w:val="00AB70FE"/>
    <w:rsid w:val="00AB7615"/>
    <w:rsid w:val="00AC005F"/>
    <w:rsid w:val="00AC0E8C"/>
    <w:rsid w:val="00AC1A81"/>
    <w:rsid w:val="00AC1DBD"/>
    <w:rsid w:val="00AC25F1"/>
    <w:rsid w:val="00AC372C"/>
    <w:rsid w:val="00AC561B"/>
    <w:rsid w:val="00AC598C"/>
    <w:rsid w:val="00AC5B34"/>
    <w:rsid w:val="00AC6003"/>
    <w:rsid w:val="00AC70E8"/>
    <w:rsid w:val="00AC78CB"/>
    <w:rsid w:val="00AC7BAB"/>
    <w:rsid w:val="00AC7C0F"/>
    <w:rsid w:val="00AD1143"/>
    <w:rsid w:val="00AD1877"/>
    <w:rsid w:val="00AD1944"/>
    <w:rsid w:val="00AD21FE"/>
    <w:rsid w:val="00AD2974"/>
    <w:rsid w:val="00AD2B37"/>
    <w:rsid w:val="00AD339C"/>
    <w:rsid w:val="00AD3533"/>
    <w:rsid w:val="00AD37EA"/>
    <w:rsid w:val="00AD3D6C"/>
    <w:rsid w:val="00AD4031"/>
    <w:rsid w:val="00AD4930"/>
    <w:rsid w:val="00AD49E7"/>
    <w:rsid w:val="00AD5018"/>
    <w:rsid w:val="00AD5168"/>
    <w:rsid w:val="00AD58B9"/>
    <w:rsid w:val="00AD5A48"/>
    <w:rsid w:val="00AD5F09"/>
    <w:rsid w:val="00AD7C4D"/>
    <w:rsid w:val="00AE07DD"/>
    <w:rsid w:val="00AE0DBD"/>
    <w:rsid w:val="00AE1AC2"/>
    <w:rsid w:val="00AE1FF6"/>
    <w:rsid w:val="00AE285A"/>
    <w:rsid w:val="00AE2B2D"/>
    <w:rsid w:val="00AE381D"/>
    <w:rsid w:val="00AE3E73"/>
    <w:rsid w:val="00AE478D"/>
    <w:rsid w:val="00AE4D4E"/>
    <w:rsid w:val="00AE57C9"/>
    <w:rsid w:val="00AE706A"/>
    <w:rsid w:val="00AE7547"/>
    <w:rsid w:val="00AE7D4D"/>
    <w:rsid w:val="00AF00F9"/>
    <w:rsid w:val="00AF07DA"/>
    <w:rsid w:val="00AF1D48"/>
    <w:rsid w:val="00AF2C70"/>
    <w:rsid w:val="00AF54C1"/>
    <w:rsid w:val="00B00306"/>
    <w:rsid w:val="00B00D2B"/>
    <w:rsid w:val="00B01247"/>
    <w:rsid w:val="00B01505"/>
    <w:rsid w:val="00B017C8"/>
    <w:rsid w:val="00B01AA7"/>
    <w:rsid w:val="00B01F40"/>
    <w:rsid w:val="00B02169"/>
    <w:rsid w:val="00B0235B"/>
    <w:rsid w:val="00B02EB8"/>
    <w:rsid w:val="00B03483"/>
    <w:rsid w:val="00B03B3A"/>
    <w:rsid w:val="00B0472D"/>
    <w:rsid w:val="00B07F64"/>
    <w:rsid w:val="00B102F2"/>
    <w:rsid w:val="00B10AE2"/>
    <w:rsid w:val="00B10B63"/>
    <w:rsid w:val="00B10D3D"/>
    <w:rsid w:val="00B10D49"/>
    <w:rsid w:val="00B12231"/>
    <w:rsid w:val="00B1278E"/>
    <w:rsid w:val="00B12EC3"/>
    <w:rsid w:val="00B1330C"/>
    <w:rsid w:val="00B140F2"/>
    <w:rsid w:val="00B14DC6"/>
    <w:rsid w:val="00B150D1"/>
    <w:rsid w:val="00B157D9"/>
    <w:rsid w:val="00B174AE"/>
    <w:rsid w:val="00B17A3B"/>
    <w:rsid w:val="00B200F1"/>
    <w:rsid w:val="00B210EA"/>
    <w:rsid w:val="00B218A9"/>
    <w:rsid w:val="00B220E5"/>
    <w:rsid w:val="00B2386D"/>
    <w:rsid w:val="00B23A5E"/>
    <w:rsid w:val="00B24FD2"/>
    <w:rsid w:val="00B2699C"/>
    <w:rsid w:val="00B26A6E"/>
    <w:rsid w:val="00B3174D"/>
    <w:rsid w:val="00B31E42"/>
    <w:rsid w:val="00B32689"/>
    <w:rsid w:val="00B328CE"/>
    <w:rsid w:val="00B33A16"/>
    <w:rsid w:val="00B341DF"/>
    <w:rsid w:val="00B36CAB"/>
    <w:rsid w:val="00B378F9"/>
    <w:rsid w:val="00B37A36"/>
    <w:rsid w:val="00B37F9E"/>
    <w:rsid w:val="00B41754"/>
    <w:rsid w:val="00B42906"/>
    <w:rsid w:val="00B43288"/>
    <w:rsid w:val="00B43331"/>
    <w:rsid w:val="00B43BAA"/>
    <w:rsid w:val="00B4449C"/>
    <w:rsid w:val="00B44B1B"/>
    <w:rsid w:val="00B44B8E"/>
    <w:rsid w:val="00B44F56"/>
    <w:rsid w:val="00B44F73"/>
    <w:rsid w:val="00B46113"/>
    <w:rsid w:val="00B46E15"/>
    <w:rsid w:val="00B47F02"/>
    <w:rsid w:val="00B50665"/>
    <w:rsid w:val="00B5241A"/>
    <w:rsid w:val="00B53B83"/>
    <w:rsid w:val="00B542B8"/>
    <w:rsid w:val="00B554E8"/>
    <w:rsid w:val="00B56528"/>
    <w:rsid w:val="00B61E4F"/>
    <w:rsid w:val="00B6204D"/>
    <w:rsid w:val="00B621DF"/>
    <w:rsid w:val="00B62296"/>
    <w:rsid w:val="00B62DCE"/>
    <w:rsid w:val="00B631C0"/>
    <w:rsid w:val="00B63B20"/>
    <w:rsid w:val="00B64722"/>
    <w:rsid w:val="00B65B37"/>
    <w:rsid w:val="00B66005"/>
    <w:rsid w:val="00B661FF"/>
    <w:rsid w:val="00B66383"/>
    <w:rsid w:val="00B678DB"/>
    <w:rsid w:val="00B71B00"/>
    <w:rsid w:val="00B71D25"/>
    <w:rsid w:val="00B71FD6"/>
    <w:rsid w:val="00B726AC"/>
    <w:rsid w:val="00B72B14"/>
    <w:rsid w:val="00B730CF"/>
    <w:rsid w:val="00B731E4"/>
    <w:rsid w:val="00B75D58"/>
    <w:rsid w:val="00B766CC"/>
    <w:rsid w:val="00B77329"/>
    <w:rsid w:val="00B807BB"/>
    <w:rsid w:val="00B80947"/>
    <w:rsid w:val="00B8113E"/>
    <w:rsid w:val="00B8312C"/>
    <w:rsid w:val="00B8326D"/>
    <w:rsid w:val="00B83B50"/>
    <w:rsid w:val="00B83EED"/>
    <w:rsid w:val="00B85497"/>
    <w:rsid w:val="00B85A2E"/>
    <w:rsid w:val="00B8725D"/>
    <w:rsid w:val="00B90BE6"/>
    <w:rsid w:val="00B921E0"/>
    <w:rsid w:val="00B9311C"/>
    <w:rsid w:val="00B93BE8"/>
    <w:rsid w:val="00B93E64"/>
    <w:rsid w:val="00B93F17"/>
    <w:rsid w:val="00B94624"/>
    <w:rsid w:val="00B953AD"/>
    <w:rsid w:val="00B95650"/>
    <w:rsid w:val="00B964F7"/>
    <w:rsid w:val="00B9652B"/>
    <w:rsid w:val="00B96E83"/>
    <w:rsid w:val="00BA0F71"/>
    <w:rsid w:val="00BA1BEC"/>
    <w:rsid w:val="00BA1CE6"/>
    <w:rsid w:val="00BA1EF8"/>
    <w:rsid w:val="00BA306E"/>
    <w:rsid w:val="00BA340F"/>
    <w:rsid w:val="00BA3BAB"/>
    <w:rsid w:val="00BA45DD"/>
    <w:rsid w:val="00BA5B42"/>
    <w:rsid w:val="00BA5D06"/>
    <w:rsid w:val="00BA63E9"/>
    <w:rsid w:val="00BA67B2"/>
    <w:rsid w:val="00BA68BF"/>
    <w:rsid w:val="00BA7C52"/>
    <w:rsid w:val="00BA7C74"/>
    <w:rsid w:val="00BB07B2"/>
    <w:rsid w:val="00BB0D9A"/>
    <w:rsid w:val="00BB0F8E"/>
    <w:rsid w:val="00BB1175"/>
    <w:rsid w:val="00BB11B6"/>
    <w:rsid w:val="00BB11FA"/>
    <w:rsid w:val="00BB2126"/>
    <w:rsid w:val="00BB23A3"/>
    <w:rsid w:val="00BB260C"/>
    <w:rsid w:val="00BB3B2D"/>
    <w:rsid w:val="00BB4A72"/>
    <w:rsid w:val="00BB4CF1"/>
    <w:rsid w:val="00BB651B"/>
    <w:rsid w:val="00BB6896"/>
    <w:rsid w:val="00BB7D48"/>
    <w:rsid w:val="00BC16E9"/>
    <w:rsid w:val="00BC1AB5"/>
    <w:rsid w:val="00BC1D24"/>
    <w:rsid w:val="00BC246D"/>
    <w:rsid w:val="00BC2477"/>
    <w:rsid w:val="00BC24FB"/>
    <w:rsid w:val="00BC294E"/>
    <w:rsid w:val="00BC31DC"/>
    <w:rsid w:val="00BC3454"/>
    <w:rsid w:val="00BC346B"/>
    <w:rsid w:val="00BC3B88"/>
    <w:rsid w:val="00BC3DDE"/>
    <w:rsid w:val="00BC4506"/>
    <w:rsid w:val="00BC7993"/>
    <w:rsid w:val="00BC7BF2"/>
    <w:rsid w:val="00BC7FB0"/>
    <w:rsid w:val="00BD0CE2"/>
    <w:rsid w:val="00BD10E8"/>
    <w:rsid w:val="00BD13AF"/>
    <w:rsid w:val="00BD1858"/>
    <w:rsid w:val="00BD1A19"/>
    <w:rsid w:val="00BD4095"/>
    <w:rsid w:val="00BD4288"/>
    <w:rsid w:val="00BD4433"/>
    <w:rsid w:val="00BD49D3"/>
    <w:rsid w:val="00BD562E"/>
    <w:rsid w:val="00BD61F9"/>
    <w:rsid w:val="00BD626D"/>
    <w:rsid w:val="00BD6B9E"/>
    <w:rsid w:val="00BD6E3F"/>
    <w:rsid w:val="00BE0257"/>
    <w:rsid w:val="00BE1180"/>
    <w:rsid w:val="00BE225E"/>
    <w:rsid w:val="00BE2344"/>
    <w:rsid w:val="00BE2A10"/>
    <w:rsid w:val="00BE2C86"/>
    <w:rsid w:val="00BE342E"/>
    <w:rsid w:val="00BE4340"/>
    <w:rsid w:val="00BE465C"/>
    <w:rsid w:val="00BE61ED"/>
    <w:rsid w:val="00BE6EBA"/>
    <w:rsid w:val="00BE6FAB"/>
    <w:rsid w:val="00BE70AF"/>
    <w:rsid w:val="00BE770E"/>
    <w:rsid w:val="00BE7CA0"/>
    <w:rsid w:val="00BF10A9"/>
    <w:rsid w:val="00BF15A8"/>
    <w:rsid w:val="00BF3200"/>
    <w:rsid w:val="00BF46EC"/>
    <w:rsid w:val="00BF5879"/>
    <w:rsid w:val="00BF5E05"/>
    <w:rsid w:val="00BF6830"/>
    <w:rsid w:val="00C0239B"/>
    <w:rsid w:val="00C02575"/>
    <w:rsid w:val="00C02900"/>
    <w:rsid w:val="00C029EA"/>
    <w:rsid w:val="00C02ABB"/>
    <w:rsid w:val="00C02D91"/>
    <w:rsid w:val="00C03E32"/>
    <w:rsid w:val="00C0447A"/>
    <w:rsid w:val="00C05010"/>
    <w:rsid w:val="00C06119"/>
    <w:rsid w:val="00C06699"/>
    <w:rsid w:val="00C068AF"/>
    <w:rsid w:val="00C10856"/>
    <w:rsid w:val="00C11EC4"/>
    <w:rsid w:val="00C137FD"/>
    <w:rsid w:val="00C13B5A"/>
    <w:rsid w:val="00C13E87"/>
    <w:rsid w:val="00C1466F"/>
    <w:rsid w:val="00C15312"/>
    <w:rsid w:val="00C15B33"/>
    <w:rsid w:val="00C16CE4"/>
    <w:rsid w:val="00C17372"/>
    <w:rsid w:val="00C2257E"/>
    <w:rsid w:val="00C22DA5"/>
    <w:rsid w:val="00C23A1B"/>
    <w:rsid w:val="00C2481E"/>
    <w:rsid w:val="00C24AC5"/>
    <w:rsid w:val="00C2508D"/>
    <w:rsid w:val="00C25EB6"/>
    <w:rsid w:val="00C30268"/>
    <w:rsid w:val="00C30582"/>
    <w:rsid w:val="00C31000"/>
    <w:rsid w:val="00C3107F"/>
    <w:rsid w:val="00C33DA0"/>
    <w:rsid w:val="00C33E66"/>
    <w:rsid w:val="00C350FE"/>
    <w:rsid w:val="00C35584"/>
    <w:rsid w:val="00C36586"/>
    <w:rsid w:val="00C37D01"/>
    <w:rsid w:val="00C4026A"/>
    <w:rsid w:val="00C407BE"/>
    <w:rsid w:val="00C4223C"/>
    <w:rsid w:val="00C43CCB"/>
    <w:rsid w:val="00C44552"/>
    <w:rsid w:val="00C45324"/>
    <w:rsid w:val="00C47045"/>
    <w:rsid w:val="00C52929"/>
    <w:rsid w:val="00C5358F"/>
    <w:rsid w:val="00C53729"/>
    <w:rsid w:val="00C55265"/>
    <w:rsid w:val="00C55AB0"/>
    <w:rsid w:val="00C57C62"/>
    <w:rsid w:val="00C57F10"/>
    <w:rsid w:val="00C60581"/>
    <w:rsid w:val="00C61431"/>
    <w:rsid w:val="00C615D6"/>
    <w:rsid w:val="00C62164"/>
    <w:rsid w:val="00C631DB"/>
    <w:rsid w:val="00C63BDB"/>
    <w:rsid w:val="00C63DC7"/>
    <w:rsid w:val="00C648ED"/>
    <w:rsid w:val="00C64969"/>
    <w:rsid w:val="00C657FD"/>
    <w:rsid w:val="00C66345"/>
    <w:rsid w:val="00C663DE"/>
    <w:rsid w:val="00C66BF7"/>
    <w:rsid w:val="00C66F31"/>
    <w:rsid w:val="00C679CC"/>
    <w:rsid w:val="00C67DC0"/>
    <w:rsid w:val="00C707AA"/>
    <w:rsid w:val="00C71BBD"/>
    <w:rsid w:val="00C72407"/>
    <w:rsid w:val="00C729C7"/>
    <w:rsid w:val="00C72B74"/>
    <w:rsid w:val="00C73D6F"/>
    <w:rsid w:val="00C742D8"/>
    <w:rsid w:val="00C753C0"/>
    <w:rsid w:val="00C754FE"/>
    <w:rsid w:val="00C77596"/>
    <w:rsid w:val="00C805E2"/>
    <w:rsid w:val="00C80706"/>
    <w:rsid w:val="00C807CA"/>
    <w:rsid w:val="00C80EFA"/>
    <w:rsid w:val="00C8177C"/>
    <w:rsid w:val="00C822F6"/>
    <w:rsid w:val="00C830E5"/>
    <w:rsid w:val="00C83104"/>
    <w:rsid w:val="00C83196"/>
    <w:rsid w:val="00C833FC"/>
    <w:rsid w:val="00C8389D"/>
    <w:rsid w:val="00C83E23"/>
    <w:rsid w:val="00C83F22"/>
    <w:rsid w:val="00C84665"/>
    <w:rsid w:val="00C8474E"/>
    <w:rsid w:val="00C8574C"/>
    <w:rsid w:val="00C86393"/>
    <w:rsid w:val="00C86484"/>
    <w:rsid w:val="00C86B25"/>
    <w:rsid w:val="00C87D90"/>
    <w:rsid w:val="00C90DF4"/>
    <w:rsid w:val="00C910A7"/>
    <w:rsid w:val="00C91442"/>
    <w:rsid w:val="00C92085"/>
    <w:rsid w:val="00C92B7F"/>
    <w:rsid w:val="00C92CD9"/>
    <w:rsid w:val="00C93AAA"/>
    <w:rsid w:val="00C9486C"/>
    <w:rsid w:val="00C94EC9"/>
    <w:rsid w:val="00C9505C"/>
    <w:rsid w:val="00C95312"/>
    <w:rsid w:val="00C95374"/>
    <w:rsid w:val="00C95EC3"/>
    <w:rsid w:val="00C96457"/>
    <w:rsid w:val="00C964DA"/>
    <w:rsid w:val="00C964F4"/>
    <w:rsid w:val="00C967DC"/>
    <w:rsid w:val="00C96BD9"/>
    <w:rsid w:val="00CA0066"/>
    <w:rsid w:val="00CA0185"/>
    <w:rsid w:val="00CA0660"/>
    <w:rsid w:val="00CA0E55"/>
    <w:rsid w:val="00CA176F"/>
    <w:rsid w:val="00CA202E"/>
    <w:rsid w:val="00CA205D"/>
    <w:rsid w:val="00CA3504"/>
    <w:rsid w:val="00CA4595"/>
    <w:rsid w:val="00CA4685"/>
    <w:rsid w:val="00CA48CD"/>
    <w:rsid w:val="00CA5CCB"/>
    <w:rsid w:val="00CA5FA1"/>
    <w:rsid w:val="00CA747D"/>
    <w:rsid w:val="00CB18B6"/>
    <w:rsid w:val="00CB20AF"/>
    <w:rsid w:val="00CB26AE"/>
    <w:rsid w:val="00CB2829"/>
    <w:rsid w:val="00CB4A3D"/>
    <w:rsid w:val="00CB6A04"/>
    <w:rsid w:val="00CB763B"/>
    <w:rsid w:val="00CC15DA"/>
    <w:rsid w:val="00CC2672"/>
    <w:rsid w:val="00CC2A39"/>
    <w:rsid w:val="00CC3362"/>
    <w:rsid w:val="00CC49A1"/>
    <w:rsid w:val="00CC596A"/>
    <w:rsid w:val="00CC5A8C"/>
    <w:rsid w:val="00CC5D9D"/>
    <w:rsid w:val="00CC7065"/>
    <w:rsid w:val="00CC786E"/>
    <w:rsid w:val="00CC7E30"/>
    <w:rsid w:val="00CD0671"/>
    <w:rsid w:val="00CD16E1"/>
    <w:rsid w:val="00CD2B5D"/>
    <w:rsid w:val="00CD2C36"/>
    <w:rsid w:val="00CD3E7D"/>
    <w:rsid w:val="00CD41C7"/>
    <w:rsid w:val="00CD42A9"/>
    <w:rsid w:val="00CD547C"/>
    <w:rsid w:val="00CD5749"/>
    <w:rsid w:val="00CD5A2A"/>
    <w:rsid w:val="00CD5B76"/>
    <w:rsid w:val="00CD5BCD"/>
    <w:rsid w:val="00CD647E"/>
    <w:rsid w:val="00CD687E"/>
    <w:rsid w:val="00CD72F0"/>
    <w:rsid w:val="00CD7919"/>
    <w:rsid w:val="00CD7C71"/>
    <w:rsid w:val="00CD7FAF"/>
    <w:rsid w:val="00CE04C1"/>
    <w:rsid w:val="00CE091B"/>
    <w:rsid w:val="00CE0C28"/>
    <w:rsid w:val="00CE1AED"/>
    <w:rsid w:val="00CE1EBC"/>
    <w:rsid w:val="00CE20EC"/>
    <w:rsid w:val="00CE2723"/>
    <w:rsid w:val="00CE2877"/>
    <w:rsid w:val="00CE29B6"/>
    <w:rsid w:val="00CE3E8C"/>
    <w:rsid w:val="00CE40FE"/>
    <w:rsid w:val="00CE4659"/>
    <w:rsid w:val="00CE4664"/>
    <w:rsid w:val="00CE4671"/>
    <w:rsid w:val="00CE4B74"/>
    <w:rsid w:val="00CE55C2"/>
    <w:rsid w:val="00CE5AFB"/>
    <w:rsid w:val="00CE5DB5"/>
    <w:rsid w:val="00CE6851"/>
    <w:rsid w:val="00CE7BF6"/>
    <w:rsid w:val="00CE7D01"/>
    <w:rsid w:val="00CF0665"/>
    <w:rsid w:val="00CF0D4C"/>
    <w:rsid w:val="00CF181F"/>
    <w:rsid w:val="00CF2587"/>
    <w:rsid w:val="00CF2C00"/>
    <w:rsid w:val="00CF351E"/>
    <w:rsid w:val="00CF46A7"/>
    <w:rsid w:val="00CF5215"/>
    <w:rsid w:val="00CF67A9"/>
    <w:rsid w:val="00CF6C08"/>
    <w:rsid w:val="00CF6DB9"/>
    <w:rsid w:val="00CF715B"/>
    <w:rsid w:val="00D012CC"/>
    <w:rsid w:val="00D02A85"/>
    <w:rsid w:val="00D03B7F"/>
    <w:rsid w:val="00D05540"/>
    <w:rsid w:val="00D05551"/>
    <w:rsid w:val="00D069B2"/>
    <w:rsid w:val="00D071E8"/>
    <w:rsid w:val="00D0799E"/>
    <w:rsid w:val="00D1004B"/>
    <w:rsid w:val="00D12348"/>
    <w:rsid w:val="00D12BBA"/>
    <w:rsid w:val="00D12E06"/>
    <w:rsid w:val="00D14B96"/>
    <w:rsid w:val="00D153C8"/>
    <w:rsid w:val="00D16434"/>
    <w:rsid w:val="00D164AF"/>
    <w:rsid w:val="00D16E1C"/>
    <w:rsid w:val="00D172EE"/>
    <w:rsid w:val="00D20D9B"/>
    <w:rsid w:val="00D222DF"/>
    <w:rsid w:val="00D2320E"/>
    <w:rsid w:val="00D2436E"/>
    <w:rsid w:val="00D24C2F"/>
    <w:rsid w:val="00D2505A"/>
    <w:rsid w:val="00D2614B"/>
    <w:rsid w:val="00D261A8"/>
    <w:rsid w:val="00D27B80"/>
    <w:rsid w:val="00D30436"/>
    <w:rsid w:val="00D308B3"/>
    <w:rsid w:val="00D31635"/>
    <w:rsid w:val="00D31B8E"/>
    <w:rsid w:val="00D31F0F"/>
    <w:rsid w:val="00D3277E"/>
    <w:rsid w:val="00D32EB5"/>
    <w:rsid w:val="00D32EED"/>
    <w:rsid w:val="00D33ED8"/>
    <w:rsid w:val="00D34240"/>
    <w:rsid w:val="00D35EF3"/>
    <w:rsid w:val="00D360FF"/>
    <w:rsid w:val="00D40367"/>
    <w:rsid w:val="00D405FA"/>
    <w:rsid w:val="00D408EC"/>
    <w:rsid w:val="00D41267"/>
    <w:rsid w:val="00D4149B"/>
    <w:rsid w:val="00D43489"/>
    <w:rsid w:val="00D435F1"/>
    <w:rsid w:val="00D43CD7"/>
    <w:rsid w:val="00D43F7A"/>
    <w:rsid w:val="00D4439C"/>
    <w:rsid w:val="00D4605D"/>
    <w:rsid w:val="00D469D0"/>
    <w:rsid w:val="00D4765B"/>
    <w:rsid w:val="00D47CD9"/>
    <w:rsid w:val="00D50723"/>
    <w:rsid w:val="00D50F1B"/>
    <w:rsid w:val="00D51023"/>
    <w:rsid w:val="00D526CD"/>
    <w:rsid w:val="00D53FF3"/>
    <w:rsid w:val="00D54A66"/>
    <w:rsid w:val="00D551F1"/>
    <w:rsid w:val="00D55429"/>
    <w:rsid w:val="00D55607"/>
    <w:rsid w:val="00D5583D"/>
    <w:rsid w:val="00D5663D"/>
    <w:rsid w:val="00D56C18"/>
    <w:rsid w:val="00D56D8E"/>
    <w:rsid w:val="00D57075"/>
    <w:rsid w:val="00D57C8C"/>
    <w:rsid w:val="00D612F0"/>
    <w:rsid w:val="00D6132F"/>
    <w:rsid w:val="00D6269C"/>
    <w:rsid w:val="00D6277D"/>
    <w:rsid w:val="00D6606B"/>
    <w:rsid w:val="00D6715C"/>
    <w:rsid w:val="00D70085"/>
    <w:rsid w:val="00D706ED"/>
    <w:rsid w:val="00D70F3C"/>
    <w:rsid w:val="00D71B3D"/>
    <w:rsid w:val="00D71CBE"/>
    <w:rsid w:val="00D7274F"/>
    <w:rsid w:val="00D72D72"/>
    <w:rsid w:val="00D73308"/>
    <w:rsid w:val="00D745A4"/>
    <w:rsid w:val="00D74C9E"/>
    <w:rsid w:val="00D8152E"/>
    <w:rsid w:val="00D81735"/>
    <w:rsid w:val="00D8190B"/>
    <w:rsid w:val="00D82687"/>
    <w:rsid w:val="00D82C58"/>
    <w:rsid w:val="00D830E3"/>
    <w:rsid w:val="00D84C76"/>
    <w:rsid w:val="00D855A9"/>
    <w:rsid w:val="00D856F8"/>
    <w:rsid w:val="00D85DFD"/>
    <w:rsid w:val="00D87E3D"/>
    <w:rsid w:val="00D90248"/>
    <w:rsid w:val="00D9190A"/>
    <w:rsid w:val="00D92054"/>
    <w:rsid w:val="00D92363"/>
    <w:rsid w:val="00D92F41"/>
    <w:rsid w:val="00D92FF8"/>
    <w:rsid w:val="00D931DA"/>
    <w:rsid w:val="00D9352E"/>
    <w:rsid w:val="00D935C3"/>
    <w:rsid w:val="00D93995"/>
    <w:rsid w:val="00D94DAD"/>
    <w:rsid w:val="00D9561B"/>
    <w:rsid w:val="00D95978"/>
    <w:rsid w:val="00D95DF3"/>
    <w:rsid w:val="00D962B6"/>
    <w:rsid w:val="00D96FA5"/>
    <w:rsid w:val="00D973F8"/>
    <w:rsid w:val="00D974AB"/>
    <w:rsid w:val="00D97931"/>
    <w:rsid w:val="00DA009E"/>
    <w:rsid w:val="00DA166E"/>
    <w:rsid w:val="00DA1CD4"/>
    <w:rsid w:val="00DA3DF9"/>
    <w:rsid w:val="00DA4329"/>
    <w:rsid w:val="00DA484E"/>
    <w:rsid w:val="00DA4EB6"/>
    <w:rsid w:val="00DA5CCF"/>
    <w:rsid w:val="00DA6086"/>
    <w:rsid w:val="00DA689F"/>
    <w:rsid w:val="00DA69AA"/>
    <w:rsid w:val="00DA6D95"/>
    <w:rsid w:val="00DA749C"/>
    <w:rsid w:val="00DB0791"/>
    <w:rsid w:val="00DB0AE8"/>
    <w:rsid w:val="00DB0E26"/>
    <w:rsid w:val="00DB18C7"/>
    <w:rsid w:val="00DB231E"/>
    <w:rsid w:val="00DB24E2"/>
    <w:rsid w:val="00DB2A01"/>
    <w:rsid w:val="00DB36FC"/>
    <w:rsid w:val="00DB3F72"/>
    <w:rsid w:val="00DB5F65"/>
    <w:rsid w:val="00DB6E66"/>
    <w:rsid w:val="00DB6F34"/>
    <w:rsid w:val="00DB723C"/>
    <w:rsid w:val="00DB76B4"/>
    <w:rsid w:val="00DC0246"/>
    <w:rsid w:val="00DC1141"/>
    <w:rsid w:val="00DC302C"/>
    <w:rsid w:val="00DC3B21"/>
    <w:rsid w:val="00DC409D"/>
    <w:rsid w:val="00DC60E6"/>
    <w:rsid w:val="00DC6125"/>
    <w:rsid w:val="00DC6AA5"/>
    <w:rsid w:val="00DC6E70"/>
    <w:rsid w:val="00DC7EF6"/>
    <w:rsid w:val="00DD146A"/>
    <w:rsid w:val="00DD1C8E"/>
    <w:rsid w:val="00DD22D8"/>
    <w:rsid w:val="00DD3A74"/>
    <w:rsid w:val="00DD40CB"/>
    <w:rsid w:val="00DD4519"/>
    <w:rsid w:val="00DD6053"/>
    <w:rsid w:val="00DD6D16"/>
    <w:rsid w:val="00DD76A8"/>
    <w:rsid w:val="00DE02EC"/>
    <w:rsid w:val="00DE0A25"/>
    <w:rsid w:val="00DE1BCD"/>
    <w:rsid w:val="00DE1F75"/>
    <w:rsid w:val="00DE215D"/>
    <w:rsid w:val="00DE2DD3"/>
    <w:rsid w:val="00DE3027"/>
    <w:rsid w:val="00DE3075"/>
    <w:rsid w:val="00DE31DE"/>
    <w:rsid w:val="00DE34CA"/>
    <w:rsid w:val="00DE3939"/>
    <w:rsid w:val="00DE3961"/>
    <w:rsid w:val="00DE3D04"/>
    <w:rsid w:val="00DE4012"/>
    <w:rsid w:val="00DE4087"/>
    <w:rsid w:val="00DE49B9"/>
    <w:rsid w:val="00DE50DC"/>
    <w:rsid w:val="00DE5A67"/>
    <w:rsid w:val="00DE691A"/>
    <w:rsid w:val="00DF1955"/>
    <w:rsid w:val="00DF42C6"/>
    <w:rsid w:val="00DF479B"/>
    <w:rsid w:val="00DF553A"/>
    <w:rsid w:val="00DF5605"/>
    <w:rsid w:val="00DF5735"/>
    <w:rsid w:val="00DF5962"/>
    <w:rsid w:val="00DF5A8D"/>
    <w:rsid w:val="00E00268"/>
    <w:rsid w:val="00E0065E"/>
    <w:rsid w:val="00E01888"/>
    <w:rsid w:val="00E01CD5"/>
    <w:rsid w:val="00E01CFE"/>
    <w:rsid w:val="00E03BFD"/>
    <w:rsid w:val="00E042C1"/>
    <w:rsid w:val="00E05DCC"/>
    <w:rsid w:val="00E0707E"/>
    <w:rsid w:val="00E0750D"/>
    <w:rsid w:val="00E077EC"/>
    <w:rsid w:val="00E07CA5"/>
    <w:rsid w:val="00E10596"/>
    <w:rsid w:val="00E11E0B"/>
    <w:rsid w:val="00E11E8C"/>
    <w:rsid w:val="00E128AD"/>
    <w:rsid w:val="00E13308"/>
    <w:rsid w:val="00E144DD"/>
    <w:rsid w:val="00E1457D"/>
    <w:rsid w:val="00E14843"/>
    <w:rsid w:val="00E14CD9"/>
    <w:rsid w:val="00E14E49"/>
    <w:rsid w:val="00E1591F"/>
    <w:rsid w:val="00E15BAD"/>
    <w:rsid w:val="00E15F77"/>
    <w:rsid w:val="00E16285"/>
    <w:rsid w:val="00E163CF"/>
    <w:rsid w:val="00E16B1B"/>
    <w:rsid w:val="00E16B5C"/>
    <w:rsid w:val="00E1708E"/>
    <w:rsid w:val="00E17187"/>
    <w:rsid w:val="00E173D7"/>
    <w:rsid w:val="00E179A1"/>
    <w:rsid w:val="00E205C4"/>
    <w:rsid w:val="00E210BC"/>
    <w:rsid w:val="00E2112B"/>
    <w:rsid w:val="00E2134D"/>
    <w:rsid w:val="00E21581"/>
    <w:rsid w:val="00E217BE"/>
    <w:rsid w:val="00E21C23"/>
    <w:rsid w:val="00E21E0F"/>
    <w:rsid w:val="00E22C84"/>
    <w:rsid w:val="00E233C1"/>
    <w:rsid w:val="00E234C5"/>
    <w:rsid w:val="00E23F3C"/>
    <w:rsid w:val="00E24B0C"/>
    <w:rsid w:val="00E25661"/>
    <w:rsid w:val="00E25C8C"/>
    <w:rsid w:val="00E263E8"/>
    <w:rsid w:val="00E26A10"/>
    <w:rsid w:val="00E26FD5"/>
    <w:rsid w:val="00E27F5E"/>
    <w:rsid w:val="00E3050F"/>
    <w:rsid w:val="00E308E1"/>
    <w:rsid w:val="00E317C5"/>
    <w:rsid w:val="00E31DF0"/>
    <w:rsid w:val="00E3261A"/>
    <w:rsid w:val="00E34639"/>
    <w:rsid w:val="00E3474E"/>
    <w:rsid w:val="00E348E8"/>
    <w:rsid w:val="00E354E1"/>
    <w:rsid w:val="00E377F5"/>
    <w:rsid w:val="00E41E18"/>
    <w:rsid w:val="00E42222"/>
    <w:rsid w:val="00E42C68"/>
    <w:rsid w:val="00E43A57"/>
    <w:rsid w:val="00E43D9B"/>
    <w:rsid w:val="00E43FD3"/>
    <w:rsid w:val="00E443AC"/>
    <w:rsid w:val="00E44DF7"/>
    <w:rsid w:val="00E45D10"/>
    <w:rsid w:val="00E46FA0"/>
    <w:rsid w:val="00E47A87"/>
    <w:rsid w:val="00E47E4C"/>
    <w:rsid w:val="00E47F31"/>
    <w:rsid w:val="00E50E58"/>
    <w:rsid w:val="00E513B9"/>
    <w:rsid w:val="00E531DC"/>
    <w:rsid w:val="00E544F8"/>
    <w:rsid w:val="00E546BD"/>
    <w:rsid w:val="00E54F60"/>
    <w:rsid w:val="00E552E2"/>
    <w:rsid w:val="00E55848"/>
    <w:rsid w:val="00E56E27"/>
    <w:rsid w:val="00E60FBA"/>
    <w:rsid w:val="00E615FD"/>
    <w:rsid w:val="00E631D0"/>
    <w:rsid w:val="00E63D10"/>
    <w:rsid w:val="00E64D40"/>
    <w:rsid w:val="00E673AC"/>
    <w:rsid w:val="00E67685"/>
    <w:rsid w:val="00E678B6"/>
    <w:rsid w:val="00E703BC"/>
    <w:rsid w:val="00E72198"/>
    <w:rsid w:val="00E72220"/>
    <w:rsid w:val="00E72311"/>
    <w:rsid w:val="00E733E8"/>
    <w:rsid w:val="00E73C76"/>
    <w:rsid w:val="00E74210"/>
    <w:rsid w:val="00E75C5E"/>
    <w:rsid w:val="00E762AD"/>
    <w:rsid w:val="00E7657A"/>
    <w:rsid w:val="00E7692B"/>
    <w:rsid w:val="00E76D75"/>
    <w:rsid w:val="00E80252"/>
    <w:rsid w:val="00E80700"/>
    <w:rsid w:val="00E807DD"/>
    <w:rsid w:val="00E80B88"/>
    <w:rsid w:val="00E81D99"/>
    <w:rsid w:val="00E82414"/>
    <w:rsid w:val="00E82462"/>
    <w:rsid w:val="00E827E7"/>
    <w:rsid w:val="00E82AAE"/>
    <w:rsid w:val="00E83991"/>
    <w:rsid w:val="00E83A6B"/>
    <w:rsid w:val="00E840C8"/>
    <w:rsid w:val="00E843F4"/>
    <w:rsid w:val="00E84BF1"/>
    <w:rsid w:val="00E8532A"/>
    <w:rsid w:val="00E85C5F"/>
    <w:rsid w:val="00E8614B"/>
    <w:rsid w:val="00E86F92"/>
    <w:rsid w:val="00E90F71"/>
    <w:rsid w:val="00E928F9"/>
    <w:rsid w:val="00E938C4"/>
    <w:rsid w:val="00E93DB4"/>
    <w:rsid w:val="00E941B3"/>
    <w:rsid w:val="00E9431A"/>
    <w:rsid w:val="00E94C4D"/>
    <w:rsid w:val="00E964E5"/>
    <w:rsid w:val="00E96774"/>
    <w:rsid w:val="00E96788"/>
    <w:rsid w:val="00E9699D"/>
    <w:rsid w:val="00E97EAA"/>
    <w:rsid w:val="00E97F58"/>
    <w:rsid w:val="00EA04EE"/>
    <w:rsid w:val="00EA12FA"/>
    <w:rsid w:val="00EA17EA"/>
    <w:rsid w:val="00EA2165"/>
    <w:rsid w:val="00EA2438"/>
    <w:rsid w:val="00EA25FA"/>
    <w:rsid w:val="00EA3523"/>
    <w:rsid w:val="00EA58A8"/>
    <w:rsid w:val="00EA5E26"/>
    <w:rsid w:val="00EB0869"/>
    <w:rsid w:val="00EB25A9"/>
    <w:rsid w:val="00EB2632"/>
    <w:rsid w:val="00EB36D9"/>
    <w:rsid w:val="00EB3F03"/>
    <w:rsid w:val="00EB4A44"/>
    <w:rsid w:val="00EB543D"/>
    <w:rsid w:val="00EB5D41"/>
    <w:rsid w:val="00EB6294"/>
    <w:rsid w:val="00EB6F63"/>
    <w:rsid w:val="00EB708D"/>
    <w:rsid w:val="00EB711D"/>
    <w:rsid w:val="00EB7D07"/>
    <w:rsid w:val="00EC0691"/>
    <w:rsid w:val="00EC14CC"/>
    <w:rsid w:val="00EC2100"/>
    <w:rsid w:val="00EC2450"/>
    <w:rsid w:val="00EC2AA3"/>
    <w:rsid w:val="00EC2EC1"/>
    <w:rsid w:val="00EC340C"/>
    <w:rsid w:val="00EC3998"/>
    <w:rsid w:val="00EC400E"/>
    <w:rsid w:val="00EC49D5"/>
    <w:rsid w:val="00EC4CFA"/>
    <w:rsid w:val="00EC596A"/>
    <w:rsid w:val="00EC70DA"/>
    <w:rsid w:val="00ED122F"/>
    <w:rsid w:val="00ED13EB"/>
    <w:rsid w:val="00ED144E"/>
    <w:rsid w:val="00ED1BA0"/>
    <w:rsid w:val="00ED216A"/>
    <w:rsid w:val="00ED2EF5"/>
    <w:rsid w:val="00ED31ED"/>
    <w:rsid w:val="00ED39F5"/>
    <w:rsid w:val="00ED45CB"/>
    <w:rsid w:val="00ED46F7"/>
    <w:rsid w:val="00ED4DAD"/>
    <w:rsid w:val="00ED5235"/>
    <w:rsid w:val="00ED62A0"/>
    <w:rsid w:val="00ED7513"/>
    <w:rsid w:val="00ED776F"/>
    <w:rsid w:val="00EE085D"/>
    <w:rsid w:val="00EE0B26"/>
    <w:rsid w:val="00EE1FC2"/>
    <w:rsid w:val="00EE2672"/>
    <w:rsid w:val="00EE37FF"/>
    <w:rsid w:val="00EE4470"/>
    <w:rsid w:val="00EE5D5F"/>
    <w:rsid w:val="00EE67AB"/>
    <w:rsid w:val="00EE6E80"/>
    <w:rsid w:val="00EE7BEA"/>
    <w:rsid w:val="00EF072C"/>
    <w:rsid w:val="00EF0850"/>
    <w:rsid w:val="00EF1108"/>
    <w:rsid w:val="00EF11A2"/>
    <w:rsid w:val="00EF1F49"/>
    <w:rsid w:val="00EF262B"/>
    <w:rsid w:val="00EF27A4"/>
    <w:rsid w:val="00EF3B9A"/>
    <w:rsid w:val="00EF44D9"/>
    <w:rsid w:val="00EF5FED"/>
    <w:rsid w:val="00EF6188"/>
    <w:rsid w:val="00EF6424"/>
    <w:rsid w:val="00EF712D"/>
    <w:rsid w:val="00EF766B"/>
    <w:rsid w:val="00EF7DA8"/>
    <w:rsid w:val="00F006E3"/>
    <w:rsid w:val="00F01416"/>
    <w:rsid w:val="00F01497"/>
    <w:rsid w:val="00F01678"/>
    <w:rsid w:val="00F01E92"/>
    <w:rsid w:val="00F02943"/>
    <w:rsid w:val="00F03F77"/>
    <w:rsid w:val="00F048C8"/>
    <w:rsid w:val="00F04A1B"/>
    <w:rsid w:val="00F05171"/>
    <w:rsid w:val="00F053A4"/>
    <w:rsid w:val="00F0547F"/>
    <w:rsid w:val="00F05A47"/>
    <w:rsid w:val="00F05E47"/>
    <w:rsid w:val="00F0678D"/>
    <w:rsid w:val="00F0798B"/>
    <w:rsid w:val="00F07B3B"/>
    <w:rsid w:val="00F07B69"/>
    <w:rsid w:val="00F07DFD"/>
    <w:rsid w:val="00F10149"/>
    <w:rsid w:val="00F1122F"/>
    <w:rsid w:val="00F11758"/>
    <w:rsid w:val="00F12E67"/>
    <w:rsid w:val="00F16399"/>
    <w:rsid w:val="00F20390"/>
    <w:rsid w:val="00F2157F"/>
    <w:rsid w:val="00F21AA2"/>
    <w:rsid w:val="00F234F8"/>
    <w:rsid w:val="00F23C5D"/>
    <w:rsid w:val="00F23E78"/>
    <w:rsid w:val="00F23F8C"/>
    <w:rsid w:val="00F243A3"/>
    <w:rsid w:val="00F245A8"/>
    <w:rsid w:val="00F24850"/>
    <w:rsid w:val="00F25D51"/>
    <w:rsid w:val="00F25D53"/>
    <w:rsid w:val="00F25DE7"/>
    <w:rsid w:val="00F260C9"/>
    <w:rsid w:val="00F2641A"/>
    <w:rsid w:val="00F265A9"/>
    <w:rsid w:val="00F26600"/>
    <w:rsid w:val="00F26EBD"/>
    <w:rsid w:val="00F26F63"/>
    <w:rsid w:val="00F26FDA"/>
    <w:rsid w:val="00F27587"/>
    <w:rsid w:val="00F27D10"/>
    <w:rsid w:val="00F307A6"/>
    <w:rsid w:val="00F30E5D"/>
    <w:rsid w:val="00F30FE0"/>
    <w:rsid w:val="00F31590"/>
    <w:rsid w:val="00F322DE"/>
    <w:rsid w:val="00F3248D"/>
    <w:rsid w:val="00F32624"/>
    <w:rsid w:val="00F36107"/>
    <w:rsid w:val="00F363F2"/>
    <w:rsid w:val="00F36E5D"/>
    <w:rsid w:val="00F37AA2"/>
    <w:rsid w:val="00F37B69"/>
    <w:rsid w:val="00F4047F"/>
    <w:rsid w:val="00F40F6E"/>
    <w:rsid w:val="00F42C3A"/>
    <w:rsid w:val="00F4314C"/>
    <w:rsid w:val="00F4425E"/>
    <w:rsid w:val="00F447D8"/>
    <w:rsid w:val="00F4493D"/>
    <w:rsid w:val="00F4498E"/>
    <w:rsid w:val="00F44BC9"/>
    <w:rsid w:val="00F4623E"/>
    <w:rsid w:val="00F508D3"/>
    <w:rsid w:val="00F5091A"/>
    <w:rsid w:val="00F50A72"/>
    <w:rsid w:val="00F52590"/>
    <w:rsid w:val="00F52B97"/>
    <w:rsid w:val="00F53BC2"/>
    <w:rsid w:val="00F543E5"/>
    <w:rsid w:val="00F552A5"/>
    <w:rsid w:val="00F572C5"/>
    <w:rsid w:val="00F57921"/>
    <w:rsid w:val="00F60623"/>
    <w:rsid w:val="00F61106"/>
    <w:rsid w:val="00F61177"/>
    <w:rsid w:val="00F61A0F"/>
    <w:rsid w:val="00F61A7E"/>
    <w:rsid w:val="00F621CE"/>
    <w:rsid w:val="00F62480"/>
    <w:rsid w:val="00F63717"/>
    <w:rsid w:val="00F6559B"/>
    <w:rsid w:val="00F65691"/>
    <w:rsid w:val="00F659AF"/>
    <w:rsid w:val="00F66377"/>
    <w:rsid w:val="00F70159"/>
    <w:rsid w:val="00F70AC0"/>
    <w:rsid w:val="00F725C3"/>
    <w:rsid w:val="00F729F9"/>
    <w:rsid w:val="00F744BA"/>
    <w:rsid w:val="00F76386"/>
    <w:rsid w:val="00F76EE4"/>
    <w:rsid w:val="00F77B0D"/>
    <w:rsid w:val="00F77CD1"/>
    <w:rsid w:val="00F80AFD"/>
    <w:rsid w:val="00F81301"/>
    <w:rsid w:val="00F81A5D"/>
    <w:rsid w:val="00F82A32"/>
    <w:rsid w:val="00F82E5B"/>
    <w:rsid w:val="00F8367E"/>
    <w:rsid w:val="00F83B74"/>
    <w:rsid w:val="00F84C33"/>
    <w:rsid w:val="00F85C50"/>
    <w:rsid w:val="00F87085"/>
    <w:rsid w:val="00F87504"/>
    <w:rsid w:val="00F87600"/>
    <w:rsid w:val="00F87F3A"/>
    <w:rsid w:val="00F91D5A"/>
    <w:rsid w:val="00F921CC"/>
    <w:rsid w:val="00F931A0"/>
    <w:rsid w:val="00F93BC0"/>
    <w:rsid w:val="00F93BD9"/>
    <w:rsid w:val="00F95431"/>
    <w:rsid w:val="00F95FBA"/>
    <w:rsid w:val="00F965A2"/>
    <w:rsid w:val="00F96BF8"/>
    <w:rsid w:val="00F96E34"/>
    <w:rsid w:val="00F9762B"/>
    <w:rsid w:val="00FA1264"/>
    <w:rsid w:val="00FA17EC"/>
    <w:rsid w:val="00FA2A1E"/>
    <w:rsid w:val="00FA2E5E"/>
    <w:rsid w:val="00FA2FFC"/>
    <w:rsid w:val="00FA394F"/>
    <w:rsid w:val="00FA3A6D"/>
    <w:rsid w:val="00FA3B0D"/>
    <w:rsid w:val="00FA3B1F"/>
    <w:rsid w:val="00FA4796"/>
    <w:rsid w:val="00FA4C5E"/>
    <w:rsid w:val="00FA5108"/>
    <w:rsid w:val="00FA5709"/>
    <w:rsid w:val="00FA5750"/>
    <w:rsid w:val="00FA7D63"/>
    <w:rsid w:val="00FB2839"/>
    <w:rsid w:val="00FB2CE6"/>
    <w:rsid w:val="00FB3888"/>
    <w:rsid w:val="00FB45C8"/>
    <w:rsid w:val="00FB5E0D"/>
    <w:rsid w:val="00FB626E"/>
    <w:rsid w:val="00FB68E8"/>
    <w:rsid w:val="00FB718B"/>
    <w:rsid w:val="00FB7B96"/>
    <w:rsid w:val="00FC0DA4"/>
    <w:rsid w:val="00FC1A2F"/>
    <w:rsid w:val="00FC30CC"/>
    <w:rsid w:val="00FC43AF"/>
    <w:rsid w:val="00FC4613"/>
    <w:rsid w:val="00FC4C38"/>
    <w:rsid w:val="00FC523E"/>
    <w:rsid w:val="00FC52C5"/>
    <w:rsid w:val="00FC54CC"/>
    <w:rsid w:val="00FC5D8A"/>
    <w:rsid w:val="00FC63D0"/>
    <w:rsid w:val="00FC6BAE"/>
    <w:rsid w:val="00FC6F5E"/>
    <w:rsid w:val="00FC6F84"/>
    <w:rsid w:val="00FC7A0D"/>
    <w:rsid w:val="00FC7EAD"/>
    <w:rsid w:val="00FC7F61"/>
    <w:rsid w:val="00FD1583"/>
    <w:rsid w:val="00FD3A4B"/>
    <w:rsid w:val="00FD3F5D"/>
    <w:rsid w:val="00FD50F9"/>
    <w:rsid w:val="00FD717D"/>
    <w:rsid w:val="00FD7805"/>
    <w:rsid w:val="00FD7876"/>
    <w:rsid w:val="00FE18AF"/>
    <w:rsid w:val="00FE24A6"/>
    <w:rsid w:val="00FE296B"/>
    <w:rsid w:val="00FE452A"/>
    <w:rsid w:val="00FE4585"/>
    <w:rsid w:val="00FE4D82"/>
    <w:rsid w:val="00FE4FD3"/>
    <w:rsid w:val="00FE550E"/>
    <w:rsid w:val="00FE79C1"/>
    <w:rsid w:val="00FE7F89"/>
    <w:rsid w:val="00FF243B"/>
    <w:rsid w:val="00FF2ACF"/>
    <w:rsid w:val="00FF3CC9"/>
    <w:rsid w:val="00FF3DA6"/>
    <w:rsid w:val="00FF43E2"/>
    <w:rsid w:val="00FF4466"/>
    <w:rsid w:val="00FF52D6"/>
    <w:rsid w:val="00FF56EC"/>
    <w:rsid w:val="00FF5C16"/>
    <w:rsid w:val="00FF7093"/>
    <w:rsid w:val="00FF7F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39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2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B21"/>
    <w:rPr>
      <w:rFonts w:ascii="Tahoma" w:hAnsi="Tahoma" w:cs="Tahoma"/>
      <w:sz w:val="16"/>
      <w:szCs w:val="16"/>
      <w:lang w:eastAsia="en-US"/>
    </w:rPr>
  </w:style>
  <w:style w:type="paragraph" w:styleId="ListParagraph">
    <w:name w:val="List Paragraph"/>
    <w:basedOn w:val="Normal"/>
    <w:uiPriority w:val="34"/>
    <w:qFormat/>
    <w:rsid w:val="008E0B21"/>
    <w:pPr>
      <w:ind w:left="720"/>
      <w:contextualSpacing/>
    </w:pPr>
  </w:style>
  <w:style w:type="paragraph" w:styleId="Header">
    <w:name w:val="header"/>
    <w:basedOn w:val="Normal"/>
    <w:link w:val="HeaderChar"/>
    <w:uiPriority w:val="99"/>
    <w:unhideWhenUsed/>
    <w:rsid w:val="007A3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D81"/>
    <w:rPr>
      <w:sz w:val="22"/>
      <w:szCs w:val="22"/>
      <w:lang w:eastAsia="en-US"/>
    </w:rPr>
  </w:style>
  <w:style w:type="paragraph" w:styleId="Footer">
    <w:name w:val="footer"/>
    <w:basedOn w:val="Normal"/>
    <w:link w:val="FooterChar"/>
    <w:uiPriority w:val="99"/>
    <w:unhideWhenUsed/>
    <w:rsid w:val="007A3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D81"/>
    <w:rPr>
      <w:sz w:val="22"/>
      <w:szCs w:val="22"/>
      <w:lang w:eastAsia="en-US"/>
    </w:rPr>
  </w:style>
  <w:style w:type="paragraph" w:styleId="NoSpacing">
    <w:name w:val="No Spacing"/>
    <w:uiPriority w:val="1"/>
    <w:qFormat/>
    <w:rsid w:val="00FC4C38"/>
    <w:rPr>
      <w:sz w:val="22"/>
      <w:szCs w:val="22"/>
      <w:lang w:eastAsia="en-US"/>
    </w:rPr>
  </w:style>
  <w:style w:type="table" w:styleId="TableGrid">
    <w:name w:val="Table Grid"/>
    <w:basedOn w:val="TableNormal"/>
    <w:uiPriority w:val="59"/>
    <w:rsid w:val="00AD4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E39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3939"/>
    <w:rPr>
      <w:lang w:eastAsia="en-US"/>
    </w:rPr>
  </w:style>
  <w:style w:type="character" w:styleId="FootnoteReference">
    <w:name w:val="footnote reference"/>
    <w:basedOn w:val="DefaultParagraphFont"/>
    <w:uiPriority w:val="99"/>
    <w:semiHidden/>
    <w:unhideWhenUsed/>
    <w:rsid w:val="00DE3939"/>
    <w:rPr>
      <w:vertAlign w:val="superscript"/>
    </w:rPr>
  </w:style>
  <w:style w:type="character" w:styleId="Hyperlink">
    <w:name w:val="Hyperlink"/>
    <w:basedOn w:val="DefaultParagraphFont"/>
    <w:uiPriority w:val="99"/>
    <w:unhideWhenUsed/>
    <w:rsid w:val="00381C31"/>
    <w:rPr>
      <w:color w:val="0000FF" w:themeColor="hyperlink"/>
      <w:u w:val="single"/>
    </w:rPr>
  </w:style>
  <w:style w:type="character" w:styleId="FollowedHyperlink">
    <w:name w:val="FollowedHyperlink"/>
    <w:basedOn w:val="DefaultParagraphFont"/>
    <w:uiPriority w:val="99"/>
    <w:semiHidden/>
    <w:unhideWhenUsed/>
    <w:rsid w:val="009532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2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B21"/>
    <w:rPr>
      <w:rFonts w:ascii="Tahoma" w:hAnsi="Tahoma" w:cs="Tahoma"/>
      <w:sz w:val="16"/>
      <w:szCs w:val="16"/>
      <w:lang w:eastAsia="en-US"/>
    </w:rPr>
  </w:style>
  <w:style w:type="paragraph" w:styleId="ListParagraph">
    <w:name w:val="List Paragraph"/>
    <w:basedOn w:val="Normal"/>
    <w:uiPriority w:val="34"/>
    <w:qFormat/>
    <w:rsid w:val="008E0B21"/>
    <w:pPr>
      <w:ind w:left="720"/>
      <w:contextualSpacing/>
    </w:pPr>
  </w:style>
  <w:style w:type="paragraph" w:styleId="Header">
    <w:name w:val="header"/>
    <w:basedOn w:val="Normal"/>
    <w:link w:val="HeaderChar"/>
    <w:uiPriority w:val="99"/>
    <w:unhideWhenUsed/>
    <w:rsid w:val="007A3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D81"/>
    <w:rPr>
      <w:sz w:val="22"/>
      <w:szCs w:val="22"/>
      <w:lang w:eastAsia="en-US"/>
    </w:rPr>
  </w:style>
  <w:style w:type="paragraph" w:styleId="Footer">
    <w:name w:val="footer"/>
    <w:basedOn w:val="Normal"/>
    <w:link w:val="FooterChar"/>
    <w:uiPriority w:val="99"/>
    <w:unhideWhenUsed/>
    <w:rsid w:val="007A3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D81"/>
    <w:rPr>
      <w:sz w:val="22"/>
      <w:szCs w:val="22"/>
      <w:lang w:eastAsia="en-US"/>
    </w:rPr>
  </w:style>
  <w:style w:type="paragraph" w:styleId="NoSpacing">
    <w:name w:val="No Spacing"/>
    <w:uiPriority w:val="1"/>
    <w:qFormat/>
    <w:rsid w:val="00FC4C38"/>
    <w:rPr>
      <w:sz w:val="22"/>
      <w:szCs w:val="22"/>
      <w:lang w:eastAsia="en-US"/>
    </w:rPr>
  </w:style>
  <w:style w:type="table" w:styleId="TableGrid">
    <w:name w:val="Table Grid"/>
    <w:basedOn w:val="TableNormal"/>
    <w:uiPriority w:val="59"/>
    <w:rsid w:val="00AD4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E39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3939"/>
    <w:rPr>
      <w:lang w:eastAsia="en-US"/>
    </w:rPr>
  </w:style>
  <w:style w:type="character" w:styleId="FootnoteReference">
    <w:name w:val="footnote reference"/>
    <w:basedOn w:val="DefaultParagraphFont"/>
    <w:uiPriority w:val="99"/>
    <w:semiHidden/>
    <w:unhideWhenUsed/>
    <w:rsid w:val="00DE3939"/>
    <w:rPr>
      <w:vertAlign w:val="superscript"/>
    </w:rPr>
  </w:style>
  <w:style w:type="character" w:styleId="Hyperlink">
    <w:name w:val="Hyperlink"/>
    <w:basedOn w:val="DefaultParagraphFont"/>
    <w:uiPriority w:val="99"/>
    <w:unhideWhenUsed/>
    <w:rsid w:val="00381C31"/>
    <w:rPr>
      <w:color w:val="0000FF" w:themeColor="hyperlink"/>
      <w:u w:val="single"/>
    </w:rPr>
  </w:style>
  <w:style w:type="character" w:styleId="FollowedHyperlink">
    <w:name w:val="FollowedHyperlink"/>
    <w:basedOn w:val="DefaultParagraphFont"/>
    <w:uiPriority w:val="99"/>
    <w:semiHidden/>
    <w:unhideWhenUsed/>
    <w:rsid w:val="009532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chart" Target="charts/chart11.xml"/></Relationships>
</file>

<file path=word/_rels/footnotes.xml.rels><?xml version="1.0" encoding="UTF-8" standalone="yes"?>
<Relationships xmlns="http://schemas.openxmlformats.org/package/2006/relationships"><Relationship Id="rId3" Type="http://schemas.openxmlformats.org/officeDocument/2006/relationships/hyperlink" Target="http://www.scvo.org.uk/long-form-posts/scvo-workforce-survey-2015/" TargetMode="External"/><Relationship Id="rId7" Type="http://schemas.openxmlformats.org/officeDocument/2006/relationships/hyperlink" Target="http://www.gov.scot/Topics/People/social-services-workforce/SWSSF/visionandstrateg" TargetMode="External"/><Relationship Id="rId2" Type="http://schemas.openxmlformats.org/officeDocument/2006/relationships/hyperlink" Target="http://scottishcare.org/workforce-matters/news/benchmarking-survey--new-opportunities-for-participation/" TargetMode="External"/><Relationship Id="rId1" Type="http://schemas.openxmlformats.org/officeDocument/2006/relationships/hyperlink" Target="http://www.ccpscotland.org/resources/2014-benchmarking-report-voluntary-sector-hr-network-ccps/" TargetMode="External"/><Relationship Id="rId6" Type="http://schemas.openxmlformats.org/officeDocument/2006/relationships/hyperlink" Target="https://www.cornerstone.org.uk/news-story.php?id=research-shows-creeping-third-sector-crisis" TargetMode="External"/><Relationship Id="rId5" Type="http://schemas.openxmlformats.org/officeDocument/2006/relationships/hyperlink" Target="http://scottishcare.org/workforce-matters/news/scottish-care-publish-agency-staffing-supplementary-report-to-in-the-front-line/" TargetMode="External"/><Relationship Id="rId4" Type="http://schemas.openxmlformats.org/officeDocument/2006/relationships/hyperlink" Target="http://scottishcare.org/workforce-matters/news/scottish-care-support-worker-reference-group--what039s-it-all-abou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data01\centralshared$\SSSC\Strategic\Intelligence\Engagement\2015%2004%2002%20CCPS%20Scot%20Care%20downloaded%20dat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ddata01\centralshared$\SSSC\Strategic\Intelligence\Engagement\2015%2004%2002%20CCPS%20Scot%20Care%20downloaded%20dat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ddata01\centralshared$\SSSC\Strategic\Intelligence\Engagement\2015%2004%2002%20CCPS%20Scot%20Care%20downloaded%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data01\centralshared$\SSSC\Strategic\Intelligence\Engagement\2015%2004%2002%20CCPS%20Scot%20Care%20downloaded%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data01\centralshared$\SSSC\Strategic\Intelligence\Engagement\2015%2004%2002%20CCPS%20Scot%20Care%20downloaded%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data01\centralshared$\SSSC\Strategic\Intelligence\Engagement\2015%2004%2002%20CCPS%20Scot%20Care%20downloaded%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data01\centralshared$\SSSC\Strategic\Intelligence\Engagement\2015%2004%2002%20CCPS%20Scot%20Care%20downloaded%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data01\centralshared$\SSSC\Strategic\Intelligence\Engagement\2015%2004%2002%20CCPS%20Scot%20Care%20downloaded%20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ddata01\centralshared$\SSSC\Strategic\Intelligence\Engagement\2015%2004%2002%20CCPS%20Scot%20Care%20downloaded%20da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ddata01\centralshared$\SSSC\Strategic\Intelligence\Engagement\2015%2004%2002%20CCPS%20Scot%20Care%20downloaded%20dat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ddata01\centralshared$\SSSC\Strategic\Intelligence\Engagement\2015%2004%2002%20CCPS%20Scot%20Care%20downloaded%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Verdana" pitchFamily="34" charset="0"/>
                <a:ea typeface="Verdana" pitchFamily="34" charset="0"/>
                <a:cs typeface="Verdana" pitchFamily="34" charset="0"/>
              </a:defRPr>
            </a:pPr>
            <a:r>
              <a:rPr lang="en-GB" sz="1100">
                <a:latin typeface="Verdana" pitchFamily="34" charset="0"/>
                <a:ea typeface="Verdana" pitchFamily="34" charset="0"/>
                <a:cs typeface="Verdana" pitchFamily="34" charset="0"/>
              </a:rPr>
              <a:t>SSSC Register part (both sectors combined)</a:t>
            </a:r>
          </a:p>
        </c:rich>
      </c:tx>
      <c:overlay val="0"/>
    </c:title>
    <c:autoTitleDeleted val="0"/>
    <c:plotArea>
      <c:layout>
        <c:manualLayout>
          <c:layoutTarget val="inner"/>
          <c:xMode val="edge"/>
          <c:yMode val="edge"/>
          <c:x val="5.7579939666859203E-2"/>
          <c:y val="3.1933645656930298E-2"/>
          <c:w val="0.90696692494648001"/>
          <c:h val="0.56601647321557402"/>
        </c:manualLayout>
      </c:layout>
      <c:barChart>
        <c:barDir val="col"/>
        <c:grouping val="clustered"/>
        <c:varyColors val="0"/>
        <c:ser>
          <c:idx val="0"/>
          <c:order val="0"/>
          <c:tx>
            <c:strRef>
              <c:f>'Charts for All'!$K$3</c:f>
              <c:strCache>
                <c:ptCount val="1"/>
                <c:pt idx="0">
                  <c:v>No</c:v>
                </c:pt>
              </c:strCache>
            </c:strRef>
          </c:tx>
          <c:spPr>
            <a:solidFill>
              <a:schemeClr val="tx2"/>
            </a:solidFill>
            <a:ln>
              <a:solidFill>
                <a:schemeClr val="tx1"/>
              </a:solidFill>
            </a:ln>
          </c:spPr>
          <c:invertIfNegative val="0"/>
          <c:cat>
            <c:strRef>
              <c:f>'Charts for All'!$J$4:$J$11</c:f>
              <c:strCache>
                <c:ptCount val="8"/>
                <c:pt idx="0">
                  <c:v>Care home service for adults</c:v>
                </c:pt>
                <c:pt idx="1">
                  <c:v>Day care of children service</c:v>
                </c:pt>
                <c:pt idx="2">
                  <c:v>Housing support service</c:v>
                </c:pt>
                <c:pt idx="3">
                  <c:v>Not registered</c:v>
                </c:pt>
                <c:pt idx="4">
                  <c:v>Residential child care service</c:v>
                </c:pt>
                <c:pt idx="5">
                  <c:v>Care at home service</c:v>
                </c:pt>
                <c:pt idx="6">
                  <c:v>Social worker</c:v>
                </c:pt>
                <c:pt idx="7">
                  <c:v>Day care service for adults</c:v>
                </c:pt>
              </c:strCache>
            </c:strRef>
          </c:cat>
          <c:val>
            <c:numRef>
              <c:f>'Charts for All'!$K$4:$K$11</c:f>
              <c:numCache>
                <c:formatCode>General</c:formatCode>
                <c:ptCount val="8"/>
                <c:pt idx="0">
                  <c:v>326</c:v>
                </c:pt>
                <c:pt idx="1">
                  <c:v>228</c:v>
                </c:pt>
                <c:pt idx="2">
                  <c:v>99</c:v>
                </c:pt>
                <c:pt idx="3">
                  <c:v>92</c:v>
                </c:pt>
                <c:pt idx="4">
                  <c:v>74</c:v>
                </c:pt>
                <c:pt idx="5">
                  <c:v>37</c:v>
                </c:pt>
                <c:pt idx="6">
                  <c:v>24</c:v>
                </c:pt>
                <c:pt idx="7">
                  <c:v>19</c:v>
                </c:pt>
              </c:numCache>
            </c:numRef>
          </c:val>
        </c:ser>
        <c:dLbls>
          <c:showLegendKey val="0"/>
          <c:showVal val="0"/>
          <c:showCatName val="0"/>
          <c:showSerName val="0"/>
          <c:showPercent val="0"/>
          <c:showBubbleSize val="0"/>
        </c:dLbls>
        <c:gapWidth val="150"/>
        <c:axId val="222111616"/>
        <c:axId val="271131392"/>
      </c:barChart>
      <c:catAx>
        <c:axId val="222111616"/>
        <c:scaling>
          <c:orientation val="minMax"/>
        </c:scaling>
        <c:delete val="0"/>
        <c:axPos val="b"/>
        <c:numFmt formatCode="General" sourceLinked="0"/>
        <c:majorTickMark val="out"/>
        <c:minorTickMark val="none"/>
        <c:tickLblPos val="nextTo"/>
        <c:crossAx val="271131392"/>
        <c:crosses val="autoZero"/>
        <c:auto val="1"/>
        <c:lblAlgn val="ctr"/>
        <c:lblOffset val="100"/>
        <c:noMultiLvlLbl val="0"/>
      </c:catAx>
      <c:valAx>
        <c:axId val="271131392"/>
        <c:scaling>
          <c:orientation val="minMax"/>
        </c:scaling>
        <c:delete val="0"/>
        <c:axPos val="l"/>
        <c:numFmt formatCode="General" sourceLinked="1"/>
        <c:majorTickMark val="out"/>
        <c:minorTickMark val="none"/>
        <c:tickLblPos val="nextTo"/>
        <c:crossAx val="222111616"/>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Verdana" pitchFamily="34" charset="0"/>
                <a:ea typeface="Verdana" pitchFamily="34" charset="0"/>
                <a:cs typeface="Verdana" pitchFamily="34" charset="0"/>
              </a:defRPr>
            </a:pPr>
            <a:r>
              <a:rPr lang="en-GB" sz="1100">
                <a:latin typeface="Verdana" pitchFamily="34" charset="0"/>
                <a:ea typeface="Verdana" pitchFamily="34" charset="0"/>
                <a:cs typeface="Verdana" pitchFamily="34" charset="0"/>
              </a:rPr>
              <a:t>Would you</a:t>
            </a:r>
            <a:r>
              <a:rPr lang="en-GB" sz="1100" baseline="0">
                <a:latin typeface="Verdana" pitchFamily="34" charset="0"/>
                <a:ea typeface="Verdana" pitchFamily="34" charset="0"/>
                <a:cs typeface="Verdana" pitchFamily="34" charset="0"/>
              </a:rPr>
              <a:t> recommend your workplace? - Voluntary sector</a:t>
            </a:r>
            <a:endParaRPr lang="en-GB" sz="1100">
              <a:latin typeface="Verdana" pitchFamily="34" charset="0"/>
              <a:ea typeface="Verdana" pitchFamily="34" charset="0"/>
              <a:cs typeface="Verdana" pitchFamily="34" charset="0"/>
            </a:endParaRPr>
          </a:p>
        </c:rich>
      </c:tx>
      <c:overlay val="0"/>
    </c:title>
    <c:autoTitleDeleted val="0"/>
    <c:plotArea>
      <c:layout/>
      <c:pieChart>
        <c:varyColors val="1"/>
        <c:ser>
          <c:idx val="0"/>
          <c:order val="0"/>
          <c:tx>
            <c:strRef>
              <c:f>'Charts for Voluntary'!$C$42</c:f>
              <c:strCache>
                <c:ptCount val="1"/>
                <c:pt idx="0">
                  <c:v>No.</c:v>
                </c:pt>
              </c:strCache>
            </c:strRef>
          </c:tx>
          <c:spPr>
            <a:solidFill>
              <a:srgbClr val="FFC000"/>
            </a:solidFill>
            <a:ln>
              <a:solidFill>
                <a:schemeClr val="tx1"/>
              </a:solidFill>
            </a:ln>
          </c:spPr>
          <c:dPt>
            <c:idx val="0"/>
            <c:bubble3D val="0"/>
            <c:spPr>
              <a:solidFill>
                <a:srgbClr val="00B050"/>
              </a:solidFill>
              <a:ln>
                <a:solidFill>
                  <a:schemeClr val="tx1"/>
                </a:solidFill>
              </a:ln>
            </c:spPr>
          </c:dPt>
          <c:dPt>
            <c:idx val="1"/>
            <c:bubble3D val="0"/>
            <c:spPr>
              <a:solidFill>
                <a:schemeClr val="tx1">
                  <a:lumMod val="85000"/>
                  <a:lumOff val="15000"/>
                </a:schemeClr>
              </a:solidFill>
              <a:ln>
                <a:solidFill>
                  <a:schemeClr val="tx1"/>
                </a:solidFill>
              </a:ln>
            </c:spPr>
          </c:dPt>
          <c:dLbls>
            <c:dLbl>
              <c:idx val="0"/>
              <c:layout>
                <c:manualLayout>
                  <c:x val="-0.105228018372703"/>
                  <c:y val="-0.251782225138524"/>
                </c:manualLayout>
              </c:layout>
              <c:spPr/>
              <c:txPr>
                <a:bodyPr/>
                <a:lstStyle/>
                <a:p>
                  <a:pPr>
                    <a:defRPr sz="1100">
                      <a:solidFill>
                        <a:schemeClr val="tx1"/>
                      </a:solidFill>
                      <a:latin typeface="Verdana" pitchFamily="34" charset="0"/>
                      <a:ea typeface="Verdana" pitchFamily="34" charset="0"/>
                      <a:cs typeface="Verdana" pitchFamily="34" charset="0"/>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layout/>
                </c:ext>
              </c:extLst>
            </c:dLbl>
            <c:dLbl>
              <c:idx val="1"/>
              <c:layout>
                <c:manualLayout>
                  <c:x val="9.5918525809273805E-2"/>
                  <c:y val="0.17016258384368599"/>
                </c:manualLayout>
              </c:layout>
              <c:showLegendKey val="0"/>
              <c:showVal val="1"/>
              <c:showCatName val="1"/>
              <c:showSerName val="0"/>
              <c:showPercent val="0"/>
              <c:showBubbleSize val="0"/>
              <c:separator>
</c:separator>
              <c:extLst>
                <c:ext xmlns:c15="http://schemas.microsoft.com/office/drawing/2012/chart" uri="{CE6537A1-D6FC-4f65-9D91-7224C49458BB}">
                  <c15:layout/>
                </c:ext>
              </c:extLst>
            </c:dLbl>
            <c:spPr>
              <a:noFill/>
              <a:ln>
                <a:noFill/>
              </a:ln>
              <a:effectLst/>
            </c:spPr>
            <c:txPr>
              <a:bodyPr/>
              <a:lstStyle/>
              <a:p>
                <a:pPr>
                  <a:defRPr sz="1100">
                    <a:solidFill>
                      <a:schemeClr val="bg1"/>
                    </a:solidFill>
                    <a:latin typeface="Verdana" pitchFamily="34" charset="0"/>
                    <a:ea typeface="Verdana" pitchFamily="34" charset="0"/>
                    <a:cs typeface="Verdana" pitchFamily="34" charset="0"/>
                  </a:defRPr>
                </a:pPr>
                <a:endParaRPr lang="en-US"/>
              </a:p>
            </c:txPr>
            <c:showLegendKey val="0"/>
            <c:showVal val="0"/>
            <c:showCatName val="1"/>
            <c:showSerName val="0"/>
            <c:showPercent val="0"/>
            <c:showBubbleSize val="0"/>
            <c:separator>
</c:separator>
            <c:showLeaderLines val="1"/>
            <c:extLst>
              <c:ext xmlns:c15="http://schemas.microsoft.com/office/drawing/2012/chart" uri="{CE6537A1-D6FC-4f65-9D91-7224C49458BB}"/>
            </c:extLst>
          </c:dLbls>
          <c:cat>
            <c:strRef>
              <c:f>'Charts for Voluntary'!$B$43:$B$44</c:f>
              <c:strCache>
                <c:ptCount val="2"/>
                <c:pt idx="0">
                  <c:v>Yes</c:v>
                </c:pt>
                <c:pt idx="1">
                  <c:v>No</c:v>
                </c:pt>
              </c:strCache>
            </c:strRef>
          </c:cat>
          <c:val>
            <c:numRef>
              <c:f>'Charts for Voluntary'!$C$43:$C$44</c:f>
              <c:numCache>
                <c:formatCode>General</c:formatCode>
                <c:ptCount val="2"/>
                <c:pt idx="0">
                  <c:v>291</c:v>
                </c:pt>
                <c:pt idx="1">
                  <c:v>84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Verdana" pitchFamily="34" charset="0"/>
                <a:ea typeface="Verdana" pitchFamily="34" charset="0"/>
                <a:cs typeface="Verdana" pitchFamily="34" charset="0"/>
              </a:defRPr>
            </a:pPr>
            <a:r>
              <a:rPr lang="en-GB" sz="1100">
                <a:latin typeface="Verdana" pitchFamily="34" charset="0"/>
                <a:ea typeface="Verdana" pitchFamily="34" charset="0"/>
                <a:cs typeface="Verdana" pitchFamily="34" charset="0"/>
              </a:rPr>
              <a:t>Would you recommend your workplace? - Independent</a:t>
            </a:r>
            <a:r>
              <a:rPr lang="en-GB" sz="1100" baseline="0">
                <a:latin typeface="Verdana" pitchFamily="34" charset="0"/>
                <a:ea typeface="Verdana" pitchFamily="34" charset="0"/>
                <a:cs typeface="Verdana" pitchFamily="34" charset="0"/>
              </a:rPr>
              <a:t> sector</a:t>
            </a:r>
            <a:endParaRPr lang="en-GB" sz="1100">
              <a:latin typeface="Verdana" pitchFamily="34" charset="0"/>
              <a:ea typeface="Verdana" pitchFamily="34" charset="0"/>
              <a:cs typeface="Verdana" pitchFamily="34" charset="0"/>
            </a:endParaRPr>
          </a:p>
        </c:rich>
      </c:tx>
      <c:overlay val="0"/>
    </c:title>
    <c:autoTitleDeleted val="0"/>
    <c:plotArea>
      <c:layout/>
      <c:pieChart>
        <c:varyColors val="1"/>
        <c:ser>
          <c:idx val="0"/>
          <c:order val="0"/>
          <c:tx>
            <c:strRef>
              <c:f>'Charts for Private'!$I$79</c:f>
              <c:strCache>
                <c:ptCount val="1"/>
                <c:pt idx="0">
                  <c:v>No.</c:v>
                </c:pt>
              </c:strCache>
            </c:strRef>
          </c:tx>
          <c:spPr>
            <a:solidFill>
              <a:schemeClr val="accent5">
                <a:lumMod val="75000"/>
              </a:schemeClr>
            </a:solidFill>
            <a:ln>
              <a:solidFill>
                <a:schemeClr val="tx1"/>
              </a:solidFill>
            </a:ln>
          </c:spPr>
          <c:dPt>
            <c:idx val="0"/>
            <c:bubble3D val="0"/>
            <c:spPr>
              <a:solidFill>
                <a:srgbClr val="00B050"/>
              </a:solidFill>
              <a:ln>
                <a:solidFill>
                  <a:schemeClr val="tx1"/>
                </a:solidFill>
              </a:ln>
            </c:spPr>
          </c:dPt>
          <c:dPt>
            <c:idx val="1"/>
            <c:bubble3D val="0"/>
            <c:spPr>
              <a:solidFill>
                <a:schemeClr val="tx1">
                  <a:lumMod val="85000"/>
                  <a:lumOff val="15000"/>
                </a:schemeClr>
              </a:solidFill>
              <a:ln>
                <a:solidFill>
                  <a:schemeClr val="tx1"/>
                </a:solidFill>
              </a:ln>
            </c:spPr>
          </c:dPt>
          <c:dLbls>
            <c:dLbl>
              <c:idx val="0"/>
              <c:layout>
                <c:manualLayout>
                  <c:x val="-0.12350765529308801"/>
                  <c:y val="-0.23467701953922401"/>
                </c:manualLayout>
              </c:layout>
              <c:spPr/>
              <c:txPr>
                <a:bodyPr/>
                <a:lstStyle/>
                <a:p>
                  <a:pPr>
                    <a:defRPr sz="1100">
                      <a:solidFill>
                        <a:sysClr val="windowText" lastClr="000000"/>
                      </a:solidFill>
                      <a:latin typeface="Verdana" pitchFamily="34" charset="0"/>
                      <a:ea typeface="Verdana" pitchFamily="34" charset="0"/>
                      <a:cs typeface="Verdana" pitchFamily="34" charset="0"/>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layout/>
                </c:ext>
              </c:extLst>
            </c:dLbl>
            <c:dLbl>
              <c:idx val="1"/>
              <c:layout>
                <c:manualLayout>
                  <c:x val="0.10892257217847801"/>
                  <c:y val="0.14921515018956"/>
                </c:manualLayout>
              </c:layout>
              <c:spPr/>
              <c:txPr>
                <a:bodyPr/>
                <a:lstStyle/>
                <a:p>
                  <a:pPr>
                    <a:defRPr sz="1100">
                      <a:solidFill>
                        <a:schemeClr val="bg1"/>
                      </a:solidFill>
                      <a:latin typeface="Verdana" pitchFamily="34" charset="0"/>
                      <a:ea typeface="Verdana" pitchFamily="34" charset="0"/>
                      <a:cs typeface="Verdana" pitchFamily="34" charset="0"/>
                    </a:defRPr>
                  </a:pPr>
                  <a:endParaRPr lang="en-US"/>
                </a:p>
              </c:txPr>
              <c:showLegendKey val="0"/>
              <c:showVal val="1"/>
              <c:showCatName val="1"/>
              <c:showSerName val="0"/>
              <c:showPercent val="0"/>
              <c:showBubbleSize val="0"/>
              <c:separator>
</c:separator>
              <c:extLst>
                <c:ext xmlns:c15="http://schemas.microsoft.com/office/drawing/2012/chart" uri="{CE6537A1-D6FC-4f65-9D91-7224C49458BB}">
                  <c15:layout/>
                </c:ext>
              </c:extLst>
            </c:dLbl>
            <c:spPr>
              <a:noFill/>
              <a:ln>
                <a:noFill/>
              </a:ln>
              <a:effectLst/>
            </c:sp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'Charts for Private'!$H$80:$H$81</c:f>
              <c:strCache>
                <c:ptCount val="2"/>
                <c:pt idx="0">
                  <c:v>Yes</c:v>
                </c:pt>
                <c:pt idx="1">
                  <c:v>No</c:v>
                </c:pt>
              </c:strCache>
            </c:strRef>
          </c:cat>
          <c:val>
            <c:numRef>
              <c:f>'Charts for Private'!$I$80:$I$81</c:f>
              <c:numCache>
                <c:formatCode>General</c:formatCode>
                <c:ptCount val="2"/>
                <c:pt idx="0">
                  <c:v>251</c:v>
                </c:pt>
                <c:pt idx="1">
                  <c:v>107</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100">
                <a:latin typeface="Verdana" pitchFamily="34" charset="0"/>
                <a:ea typeface="Verdana" pitchFamily="34" charset="0"/>
                <a:cs typeface="Verdana" pitchFamily="34" charset="0"/>
              </a:rPr>
              <a:t>Main role (both sectors combined)</a:t>
            </a:r>
          </a:p>
        </c:rich>
      </c:tx>
      <c:overlay val="0"/>
    </c:title>
    <c:autoTitleDeleted val="0"/>
    <c:plotArea>
      <c:layout/>
      <c:barChart>
        <c:barDir val="col"/>
        <c:grouping val="clustered"/>
        <c:varyColors val="0"/>
        <c:ser>
          <c:idx val="0"/>
          <c:order val="0"/>
          <c:tx>
            <c:strRef>
              <c:f>'Charts for All'!$K$46</c:f>
              <c:strCache>
                <c:ptCount val="1"/>
                <c:pt idx="0">
                  <c:v>No</c:v>
                </c:pt>
              </c:strCache>
            </c:strRef>
          </c:tx>
          <c:spPr>
            <a:solidFill>
              <a:schemeClr val="tx2"/>
            </a:solidFill>
            <a:ln>
              <a:solidFill>
                <a:schemeClr val="tx1"/>
              </a:solidFill>
            </a:ln>
          </c:spPr>
          <c:invertIfNegative val="0"/>
          <c:cat>
            <c:strRef>
              <c:f>'Charts for All'!$J$47:$J$54</c:f>
              <c:strCache>
                <c:ptCount val="8"/>
                <c:pt idx="0">
                  <c:v>Manager</c:v>
                </c:pt>
                <c:pt idx="1">
                  <c:v>Support worker</c:v>
                </c:pt>
                <c:pt idx="2">
                  <c:v>Practitioner</c:v>
                </c:pt>
                <c:pt idx="3">
                  <c:v>Other</c:v>
                </c:pt>
                <c:pt idx="4">
                  <c:v>Supervisor</c:v>
                </c:pt>
                <c:pt idx="5">
                  <c:v>Administrator</c:v>
                </c:pt>
                <c:pt idx="6">
                  <c:v>Learning and development</c:v>
                </c:pt>
                <c:pt idx="7">
                  <c:v>HR</c:v>
                </c:pt>
              </c:strCache>
            </c:strRef>
          </c:cat>
          <c:val>
            <c:numRef>
              <c:f>'Charts for All'!$K$47:$K$54</c:f>
              <c:numCache>
                <c:formatCode>General</c:formatCode>
                <c:ptCount val="8"/>
                <c:pt idx="0">
                  <c:v>212</c:v>
                </c:pt>
                <c:pt idx="1">
                  <c:v>211</c:v>
                </c:pt>
                <c:pt idx="2">
                  <c:v>177</c:v>
                </c:pt>
                <c:pt idx="3">
                  <c:v>172</c:v>
                </c:pt>
                <c:pt idx="4">
                  <c:v>90</c:v>
                </c:pt>
                <c:pt idx="5">
                  <c:v>13</c:v>
                </c:pt>
                <c:pt idx="6">
                  <c:v>11</c:v>
                </c:pt>
                <c:pt idx="7">
                  <c:v>7</c:v>
                </c:pt>
              </c:numCache>
            </c:numRef>
          </c:val>
        </c:ser>
        <c:dLbls>
          <c:showLegendKey val="0"/>
          <c:showVal val="0"/>
          <c:showCatName val="0"/>
          <c:showSerName val="0"/>
          <c:showPercent val="0"/>
          <c:showBubbleSize val="0"/>
        </c:dLbls>
        <c:gapWidth val="150"/>
        <c:axId val="275051648"/>
        <c:axId val="275053184"/>
      </c:barChart>
      <c:catAx>
        <c:axId val="275051648"/>
        <c:scaling>
          <c:orientation val="minMax"/>
        </c:scaling>
        <c:delete val="0"/>
        <c:axPos val="b"/>
        <c:numFmt formatCode="General" sourceLinked="0"/>
        <c:majorTickMark val="out"/>
        <c:minorTickMark val="none"/>
        <c:tickLblPos val="nextTo"/>
        <c:crossAx val="275053184"/>
        <c:crosses val="autoZero"/>
        <c:auto val="1"/>
        <c:lblAlgn val="ctr"/>
        <c:lblOffset val="100"/>
        <c:noMultiLvlLbl val="0"/>
      </c:catAx>
      <c:valAx>
        <c:axId val="275053184"/>
        <c:scaling>
          <c:orientation val="minMax"/>
        </c:scaling>
        <c:delete val="0"/>
        <c:axPos val="l"/>
        <c:numFmt formatCode="General" sourceLinked="1"/>
        <c:majorTickMark val="out"/>
        <c:minorTickMark val="none"/>
        <c:tickLblPos val="nextTo"/>
        <c:crossAx val="27505164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Verdana" panose="020B0604030504040204" pitchFamily="34" charset="0"/>
                <a:ea typeface="Verdana" panose="020B0604030504040204" pitchFamily="34" charset="0"/>
                <a:cs typeface="Verdana" panose="020B0604030504040204" pitchFamily="34" charset="0"/>
              </a:defRPr>
            </a:pPr>
            <a:r>
              <a:rPr lang="en-US" sz="1100">
                <a:latin typeface="Verdana" panose="020B0604030504040204" pitchFamily="34" charset="0"/>
                <a:ea typeface="Verdana" panose="020B0604030504040204" pitchFamily="34" charset="0"/>
                <a:cs typeface="Verdana" panose="020B0604030504040204" pitchFamily="34" charset="0"/>
              </a:rPr>
              <a:t>Local authority</a:t>
            </a:r>
            <a:r>
              <a:rPr lang="en-US" sz="1100" baseline="0">
                <a:latin typeface="Verdana" panose="020B0604030504040204" pitchFamily="34" charset="0"/>
                <a:ea typeface="Verdana" panose="020B0604030504040204" pitchFamily="34" charset="0"/>
                <a:cs typeface="Verdana" panose="020B0604030504040204" pitchFamily="34" charset="0"/>
              </a:rPr>
              <a:t> area (both sectors combined)</a:t>
            </a:r>
            <a:endParaRPr lang="en-US" sz="1100">
              <a:latin typeface="Verdana" panose="020B0604030504040204" pitchFamily="34" charset="0"/>
              <a:ea typeface="Verdana" panose="020B0604030504040204" pitchFamily="34" charset="0"/>
              <a:cs typeface="Verdana" panose="020B0604030504040204" pitchFamily="34" charset="0"/>
            </a:endParaRPr>
          </a:p>
        </c:rich>
      </c:tx>
      <c:overlay val="0"/>
    </c:title>
    <c:autoTitleDeleted val="0"/>
    <c:plotArea>
      <c:layout>
        <c:manualLayout>
          <c:layoutTarget val="inner"/>
          <c:xMode val="edge"/>
          <c:yMode val="edge"/>
          <c:x val="9.3033075053519904E-2"/>
          <c:y val="2.2560146709942198E-2"/>
          <c:w val="0.90696692494648001"/>
          <c:h val="0.43264412650821599"/>
        </c:manualLayout>
      </c:layout>
      <c:barChart>
        <c:barDir val="col"/>
        <c:grouping val="clustered"/>
        <c:varyColors val="0"/>
        <c:ser>
          <c:idx val="0"/>
          <c:order val="0"/>
          <c:tx>
            <c:strRef>
              <c:f>'Charts for All'!$G$17</c:f>
              <c:strCache>
                <c:ptCount val="1"/>
                <c:pt idx="0">
                  <c:v>No</c:v>
                </c:pt>
              </c:strCache>
            </c:strRef>
          </c:tx>
          <c:spPr>
            <a:solidFill>
              <a:schemeClr val="tx2"/>
            </a:solidFill>
            <a:ln>
              <a:solidFill>
                <a:schemeClr val="tx1"/>
              </a:solidFill>
            </a:ln>
          </c:spPr>
          <c:invertIfNegative val="0"/>
          <c:cat>
            <c:strRef>
              <c:f>'Charts for All'!$F$18:$F$50</c:f>
              <c:strCache>
                <c:ptCount val="33"/>
                <c:pt idx="0">
                  <c:v>Glasgow</c:v>
                </c:pt>
                <c:pt idx="1">
                  <c:v>Edinburgh</c:v>
                </c:pt>
                <c:pt idx="2">
                  <c:v>Highland</c:v>
                </c:pt>
                <c:pt idx="3">
                  <c:v>Fife</c:v>
                </c:pt>
                <c:pt idx="4">
                  <c:v>South Lanarkshire</c:v>
                </c:pt>
                <c:pt idx="5">
                  <c:v>Aberdeen City</c:v>
                </c:pt>
                <c:pt idx="6">
                  <c:v>Aberdeenshire</c:v>
                </c:pt>
                <c:pt idx="7">
                  <c:v>Renfrewshire</c:v>
                </c:pt>
                <c:pt idx="8">
                  <c:v>Perth &amp; Kinross</c:v>
                </c:pt>
                <c:pt idx="9">
                  <c:v>Dundee</c:v>
                </c:pt>
                <c:pt idx="10">
                  <c:v>North Lanarkshire</c:v>
                </c:pt>
                <c:pt idx="11">
                  <c:v>Dumfries and Galloway</c:v>
                </c:pt>
                <c:pt idx="12">
                  <c:v>North Ayrshire</c:v>
                </c:pt>
                <c:pt idx="13">
                  <c:v>South Ayrshire</c:v>
                </c:pt>
                <c:pt idx="14">
                  <c:v>Falkirk</c:v>
                </c:pt>
                <c:pt idx="15">
                  <c:v>West Lothian</c:v>
                </c:pt>
                <c:pt idx="16">
                  <c:v>Moray</c:v>
                </c:pt>
                <c:pt idx="17">
                  <c:v>Inverclyde</c:v>
                </c:pt>
                <c:pt idx="18">
                  <c:v>Angus</c:v>
                </c:pt>
                <c:pt idx="19">
                  <c:v>Scottish Borders</c:v>
                </c:pt>
                <c:pt idx="20">
                  <c:v>Argyll &amp; Bute</c:v>
                </c:pt>
                <c:pt idx="21">
                  <c:v>Stirling</c:v>
                </c:pt>
                <c:pt idx="22">
                  <c:v>East Ayrshire</c:v>
                </c:pt>
                <c:pt idx="23">
                  <c:v>East Dunbartonshire</c:v>
                </c:pt>
                <c:pt idx="24">
                  <c:v>Midlothian</c:v>
                </c:pt>
                <c:pt idx="25">
                  <c:v>Other</c:v>
                </c:pt>
                <c:pt idx="26">
                  <c:v>East Renfrewshire</c:v>
                </c:pt>
                <c:pt idx="27">
                  <c:v>Clackmannanshire</c:v>
                </c:pt>
                <c:pt idx="28">
                  <c:v>East Lothian</c:v>
                </c:pt>
                <c:pt idx="29">
                  <c:v>West Dunbartonshire</c:v>
                </c:pt>
                <c:pt idx="30">
                  <c:v>Orkney</c:v>
                </c:pt>
                <c:pt idx="31">
                  <c:v>Comhairle nan Eilean Siar</c:v>
                </c:pt>
                <c:pt idx="32">
                  <c:v>Shetland</c:v>
                </c:pt>
              </c:strCache>
            </c:strRef>
          </c:cat>
          <c:val>
            <c:numRef>
              <c:f>'Charts for All'!$G$18:$G$50</c:f>
              <c:numCache>
                <c:formatCode>General</c:formatCode>
                <c:ptCount val="33"/>
                <c:pt idx="0">
                  <c:v>146</c:v>
                </c:pt>
                <c:pt idx="1">
                  <c:v>123</c:v>
                </c:pt>
                <c:pt idx="2">
                  <c:v>50</c:v>
                </c:pt>
                <c:pt idx="3">
                  <c:v>48</c:v>
                </c:pt>
                <c:pt idx="4">
                  <c:v>48</c:v>
                </c:pt>
                <c:pt idx="5">
                  <c:v>45</c:v>
                </c:pt>
                <c:pt idx="6">
                  <c:v>38</c:v>
                </c:pt>
                <c:pt idx="7">
                  <c:v>38</c:v>
                </c:pt>
                <c:pt idx="8">
                  <c:v>37</c:v>
                </c:pt>
                <c:pt idx="9">
                  <c:v>36</c:v>
                </c:pt>
                <c:pt idx="10">
                  <c:v>36</c:v>
                </c:pt>
                <c:pt idx="11">
                  <c:v>33</c:v>
                </c:pt>
                <c:pt idx="12">
                  <c:v>30</c:v>
                </c:pt>
                <c:pt idx="13">
                  <c:v>27</c:v>
                </c:pt>
                <c:pt idx="14">
                  <c:v>25</c:v>
                </c:pt>
                <c:pt idx="15">
                  <c:v>25</c:v>
                </c:pt>
                <c:pt idx="16">
                  <c:v>24</c:v>
                </c:pt>
                <c:pt idx="17">
                  <c:v>22</c:v>
                </c:pt>
                <c:pt idx="18">
                  <c:v>21</c:v>
                </c:pt>
                <c:pt idx="19">
                  <c:v>20</c:v>
                </c:pt>
                <c:pt idx="20">
                  <c:v>19</c:v>
                </c:pt>
                <c:pt idx="21">
                  <c:v>16</c:v>
                </c:pt>
                <c:pt idx="22">
                  <c:v>14</c:v>
                </c:pt>
                <c:pt idx="23">
                  <c:v>14</c:v>
                </c:pt>
                <c:pt idx="24">
                  <c:v>13</c:v>
                </c:pt>
                <c:pt idx="25">
                  <c:v>13</c:v>
                </c:pt>
                <c:pt idx="26">
                  <c:v>12</c:v>
                </c:pt>
                <c:pt idx="27">
                  <c:v>11</c:v>
                </c:pt>
                <c:pt idx="28">
                  <c:v>11</c:v>
                </c:pt>
                <c:pt idx="29">
                  <c:v>9</c:v>
                </c:pt>
                <c:pt idx="30">
                  <c:v>2</c:v>
                </c:pt>
                <c:pt idx="31">
                  <c:v>1</c:v>
                </c:pt>
                <c:pt idx="32">
                  <c:v>0</c:v>
                </c:pt>
              </c:numCache>
            </c:numRef>
          </c:val>
        </c:ser>
        <c:dLbls>
          <c:showLegendKey val="0"/>
          <c:showVal val="0"/>
          <c:showCatName val="0"/>
          <c:showSerName val="0"/>
          <c:showPercent val="0"/>
          <c:showBubbleSize val="0"/>
        </c:dLbls>
        <c:gapWidth val="150"/>
        <c:axId val="282523904"/>
        <c:axId val="255787008"/>
      </c:barChart>
      <c:catAx>
        <c:axId val="282523904"/>
        <c:scaling>
          <c:orientation val="minMax"/>
        </c:scaling>
        <c:delete val="0"/>
        <c:axPos val="b"/>
        <c:numFmt formatCode="General" sourceLinked="0"/>
        <c:majorTickMark val="out"/>
        <c:minorTickMark val="none"/>
        <c:tickLblPos val="nextTo"/>
        <c:crossAx val="255787008"/>
        <c:crosses val="autoZero"/>
        <c:auto val="1"/>
        <c:lblAlgn val="ctr"/>
        <c:lblOffset val="100"/>
        <c:noMultiLvlLbl val="0"/>
      </c:catAx>
      <c:valAx>
        <c:axId val="255787008"/>
        <c:scaling>
          <c:orientation val="minMax"/>
        </c:scaling>
        <c:delete val="0"/>
        <c:axPos val="l"/>
        <c:numFmt formatCode="General" sourceLinked="1"/>
        <c:majorTickMark val="out"/>
        <c:minorTickMark val="none"/>
        <c:tickLblPos val="nextTo"/>
        <c:crossAx val="28252390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Verdana" pitchFamily="34" charset="0"/>
                <a:ea typeface="Verdana" pitchFamily="34" charset="0"/>
                <a:cs typeface="Verdana" pitchFamily="34" charset="0"/>
              </a:rPr>
              <a:t>Involvement - voluntary</a:t>
            </a:r>
            <a:r>
              <a:rPr lang="en-US" sz="1100" baseline="0">
                <a:latin typeface="Verdana" pitchFamily="34" charset="0"/>
                <a:ea typeface="Verdana" pitchFamily="34" charset="0"/>
                <a:cs typeface="Verdana" pitchFamily="34" charset="0"/>
              </a:rPr>
              <a:t> sector</a:t>
            </a:r>
            <a:endParaRPr lang="en-US" sz="1100">
              <a:latin typeface="Verdana" pitchFamily="34" charset="0"/>
              <a:ea typeface="Verdana" pitchFamily="34" charset="0"/>
              <a:cs typeface="Verdana" pitchFamily="34" charset="0"/>
            </a:endParaRPr>
          </a:p>
        </c:rich>
      </c:tx>
      <c:overlay val="0"/>
    </c:title>
    <c:autoTitleDeleted val="0"/>
    <c:plotArea>
      <c:layout/>
      <c:barChart>
        <c:barDir val="col"/>
        <c:grouping val="clustered"/>
        <c:varyColors val="0"/>
        <c:ser>
          <c:idx val="0"/>
          <c:order val="0"/>
          <c:tx>
            <c:strRef>
              <c:f>'Charts for Voluntary'!$F$16</c:f>
              <c:strCache>
                <c:ptCount val="1"/>
                <c:pt idx="0">
                  <c:v>No.</c:v>
                </c:pt>
              </c:strCache>
            </c:strRef>
          </c:tx>
          <c:spPr>
            <a:solidFill>
              <a:schemeClr val="accent4">
                <a:lumMod val="75000"/>
              </a:schemeClr>
            </a:solidFill>
            <a:ln>
              <a:solidFill>
                <a:schemeClr val="tx1"/>
              </a:solidFill>
            </a:ln>
          </c:spPr>
          <c:invertIfNegative val="0"/>
          <c:cat>
            <c:strRef>
              <c:f>'Charts for Voluntary'!$E$17:$E$21</c:f>
              <c:strCache>
                <c:ptCount val="5"/>
                <c:pt idx="0">
                  <c:v>Never involved</c:v>
                </c:pt>
                <c:pt idx="1">
                  <c:v>Rarely involved</c:v>
                </c:pt>
                <c:pt idx="2">
                  <c:v>Neither involved/not involved</c:v>
                </c:pt>
                <c:pt idx="3">
                  <c:v>Often involved</c:v>
                </c:pt>
                <c:pt idx="4">
                  <c:v>Always involved</c:v>
                </c:pt>
              </c:strCache>
            </c:strRef>
          </c:cat>
          <c:val>
            <c:numRef>
              <c:f>'Charts for Voluntary'!$F$17:$F$21</c:f>
              <c:numCache>
                <c:formatCode>General</c:formatCode>
                <c:ptCount val="5"/>
                <c:pt idx="0">
                  <c:v>40</c:v>
                </c:pt>
                <c:pt idx="1">
                  <c:v>87</c:v>
                </c:pt>
                <c:pt idx="2">
                  <c:v>32</c:v>
                </c:pt>
                <c:pt idx="3">
                  <c:v>128</c:v>
                </c:pt>
                <c:pt idx="4">
                  <c:v>88</c:v>
                </c:pt>
              </c:numCache>
            </c:numRef>
          </c:val>
        </c:ser>
        <c:dLbls>
          <c:showLegendKey val="0"/>
          <c:showVal val="0"/>
          <c:showCatName val="0"/>
          <c:showSerName val="0"/>
          <c:showPercent val="0"/>
          <c:showBubbleSize val="0"/>
        </c:dLbls>
        <c:gapWidth val="150"/>
        <c:axId val="255794560"/>
        <c:axId val="255804544"/>
      </c:barChart>
      <c:catAx>
        <c:axId val="255794560"/>
        <c:scaling>
          <c:orientation val="minMax"/>
        </c:scaling>
        <c:delete val="0"/>
        <c:axPos val="b"/>
        <c:numFmt formatCode="General" sourceLinked="0"/>
        <c:majorTickMark val="out"/>
        <c:minorTickMark val="none"/>
        <c:tickLblPos val="nextTo"/>
        <c:crossAx val="255804544"/>
        <c:crosses val="autoZero"/>
        <c:auto val="1"/>
        <c:lblAlgn val="ctr"/>
        <c:lblOffset val="100"/>
        <c:noMultiLvlLbl val="0"/>
      </c:catAx>
      <c:valAx>
        <c:axId val="255804544"/>
        <c:scaling>
          <c:orientation val="minMax"/>
        </c:scaling>
        <c:delete val="0"/>
        <c:axPos val="l"/>
        <c:numFmt formatCode="General" sourceLinked="1"/>
        <c:majorTickMark val="out"/>
        <c:minorTickMark val="none"/>
        <c:tickLblPos val="nextTo"/>
        <c:crossAx val="25579456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Verdana" pitchFamily="34" charset="0"/>
                <a:ea typeface="Verdana" pitchFamily="34" charset="0"/>
                <a:cs typeface="Verdana" pitchFamily="34" charset="0"/>
              </a:defRPr>
            </a:pPr>
            <a:r>
              <a:rPr lang="en-US" sz="1100">
                <a:latin typeface="Verdana" pitchFamily="34" charset="0"/>
                <a:ea typeface="Verdana" pitchFamily="34" charset="0"/>
                <a:cs typeface="Verdana" pitchFamily="34" charset="0"/>
              </a:rPr>
              <a:t>Involvement - idependent sector</a:t>
            </a:r>
          </a:p>
        </c:rich>
      </c:tx>
      <c:overlay val="0"/>
    </c:title>
    <c:autoTitleDeleted val="0"/>
    <c:plotArea>
      <c:layout/>
      <c:barChart>
        <c:barDir val="col"/>
        <c:grouping val="clustered"/>
        <c:varyColors val="0"/>
        <c:ser>
          <c:idx val="0"/>
          <c:order val="0"/>
          <c:tx>
            <c:strRef>
              <c:f>'Charts for Private'!$I$47</c:f>
              <c:strCache>
                <c:ptCount val="1"/>
                <c:pt idx="0">
                  <c:v>No.</c:v>
                </c:pt>
              </c:strCache>
            </c:strRef>
          </c:tx>
          <c:spPr>
            <a:solidFill>
              <a:srgbClr val="FFC000"/>
            </a:solidFill>
            <a:ln>
              <a:solidFill>
                <a:schemeClr val="tx1"/>
              </a:solidFill>
            </a:ln>
          </c:spPr>
          <c:invertIfNegative val="0"/>
          <c:cat>
            <c:strRef>
              <c:f>'Charts for Private'!$H$48:$H$52</c:f>
              <c:strCache>
                <c:ptCount val="5"/>
                <c:pt idx="0">
                  <c:v>Never involved</c:v>
                </c:pt>
                <c:pt idx="1">
                  <c:v>Rarely involved</c:v>
                </c:pt>
                <c:pt idx="2">
                  <c:v>Neither involved/not involved</c:v>
                </c:pt>
                <c:pt idx="3">
                  <c:v>Often involved</c:v>
                </c:pt>
                <c:pt idx="4">
                  <c:v>Always involved</c:v>
                </c:pt>
              </c:strCache>
            </c:strRef>
          </c:cat>
          <c:val>
            <c:numRef>
              <c:f>'Charts for Private'!$I$48:$I$52</c:f>
              <c:numCache>
                <c:formatCode>General</c:formatCode>
                <c:ptCount val="5"/>
                <c:pt idx="0">
                  <c:v>94</c:v>
                </c:pt>
                <c:pt idx="1">
                  <c:v>95</c:v>
                </c:pt>
                <c:pt idx="2">
                  <c:v>26</c:v>
                </c:pt>
                <c:pt idx="3">
                  <c:v>92</c:v>
                </c:pt>
                <c:pt idx="4">
                  <c:v>55</c:v>
                </c:pt>
              </c:numCache>
            </c:numRef>
          </c:val>
        </c:ser>
        <c:dLbls>
          <c:showLegendKey val="0"/>
          <c:showVal val="0"/>
          <c:showCatName val="0"/>
          <c:showSerName val="0"/>
          <c:showPercent val="0"/>
          <c:showBubbleSize val="0"/>
        </c:dLbls>
        <c:gapWidth val="150"/>
        <c:axId val="255812352"/>
        <c:axId val="255813888"/>
      </c:barChart>
      <c:catAx>
        <c:axId val="255812352"/>
        <c:scaling>
          <c:orientation val="minMax"/>
        </c:scaling>
        <c:delete val="0"/>
        <c:axPos val="b"/>
        <c:numFmt formatCode="General" sourceLinked="0"/>
        <c:majorTickMark val="out"/>
        <c:minorTickMark val="none"/>
        <c:tickLblPos val="nextTo"/>
        <c:crossAx val="255813888"/>
        <c:crosses val="autoZero"/>
        <c:auto val="1"/>
        <c:lblAlgn val="ctr"/>
        <c:lblOffset val="100"/>
        <c:noMultiLvlLbl val="0"/>
      </c:catAx>
      <c:valAx>
        <c:axId val="255813888"/>
        <c:scaling>
          <c:orientation val="minMax"/>
        </c:scaling>
        <c:delete val="0"/>
        <c:axPos val="l"/>
        <c:numFmt formatCode="General" sourceLinked="1"/>
        <c:majorTickMark val="out"/>
        <c:minorTickMark val="none"/>
        <c:tickLblPos val="nextTo"/>
        <c:crossAx val="25581235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Verdana" pitchFamily="34" charset="0"/>
                <a:ea typeface="Verdana" pitchFamily="34" charset="0"/>
                <a:cs typeface="Verdana" pitchFamily="34" charset="0"/>
              </a:defRPr>
            </a:pPr>
            <a:r>
              <a:rPr lang="en-US" sz="1100">
                <a:latin typeface="Verdana" pitchFamily="34" charset="0"/>
                <a:ea typeface="Verdana" pitchFamily="34" charset="0"/>
                <a:cs typeface="Verdana" pitchFamily="34" charset="0"/>
              </a:rPr>
              <a:t>Valued - independent sector</a:t>
            </a:r>
          </a:p>
        </c:rich>
      </c:tx>
      <c:overlay val="0"/>
    </c:title>
    <c:autoTitleDeleted val="0"/>
    <c:plotArea>
      <c:layout/>
      <c:barChart>
        <c:barDir val="col"/>
        <c:grouping val="clustered"/>
        <c:varyColors val="0"/>
        <c:ser>
          <c:idx val="0"/>
          <c:order val="0"/>
          <c:tx>
            <c:strRef>
              <c:f>'Charts for Private'!$I$58</c:f>
              <c:strCache>
                <c:ptCount val="1"/>
                <c:pt idx="0">
                  <c:v>No.</c:v>
                </c:pt>
              </c:strCache>
            </c:strRef>
          </c:tx>
          <c:spPr>
            <a:solidFill>
              <a:srgbClr val="FFC000"/>
            </a:solidFill>
            <a:ln>
              <a:solidFill>
                <a:schemeClr val="tx1"/>
              </a:solidFill>
            </a:ln>
          </c:spPr>
          <c:invertIfNegative val="0"/>
          <c:cat>
            <c:strRef>
              <c:f>'Charts for Private'!$H$59:$H$63</c:f>
              <c:strCache>
                <c:ptCount val="5"/>
                <c:pt idx="0">
                  <c:v>Not at all valued</c:v>
                </c:pt>
                <c:pt idx="1">
                  <c:v>Sometimes valued</c:v>
                </c:pt>
                <c:pt idx="2">
                  <c:v>Neither valued/not valued</c:v>
                </c:pt>
                <c:pt idx="3">
                  <c:v>Often valued</c:v>
                </c:pt>
                <c:pt idx="4">
                  <c:v>Fully valued</c:v>
                </c:pt>
              </c:strCache>
            </c:strRef>
          </c:cat>
          <c:val>
            <c:numRef>
              <c:f>'Charts for Private'!$I$59:$I$63</c:f>
              <c:numCache>
                <c:formatCode>General</c:formatCode>
                <c:ptCount val="5"/>
                <c:pt idx="0">
                  <c:v>64</c:v>
                </c:pt>
                <c:pt idx="1">
                  <c:v>90</c:v>
                </c:pt>
                <c:pt idx="2">
                  <c:v>57</c:v>
                </c:pt>
                <c:pt idx="3">
                  <c:v>103</c:v>
                </c:pt>
                <c:pt idx="4">
                  <c:v>47</c:v>
                </c:pt>
              </c:numCache>
            </c:numRef>
          </c:val>
        </c:ser>
        <c:dLbls>
          <c:showLegendKey val="0"/>
          <c:showVal val="0"/>
          <c:showCatName val="0"/>
          <c:showSerName val="0"/>
          <c:showPercent val="0"/>
          <c:showBubbleSize val="0"/>
        </c:dLbls>
        <c:gapWidth val="150"/>
        <c:axId val="255842176"/>
        <c:axId val="255843712"/>
      </c:barChart>
      <c:catAx>
        <c:axId val="255842176"/>
        <c:scaling>
          <c:orientation val="minMax"/>
        </c:scaling>
        <c:delete val="0"/>
        <c:axPos val="b"/>
        <c:numFmt formatCode="General" sourceLinked="0"/>
        <c:majorTickMark val="out"/>
        <c:minorTickMark val="none"/>
        <c:tickLblPos val="nextTo"/>
        <c:crossAx val="255843712"/>
        <c:crosses val="autoZero"/>
        <c:auto val="1"/>
        <c:lblAlgn val="ctr"/>
        <c:lblOffset val="100"/>
        <c:noMultiLvlLbl val="0"/>
      </c:catAx>
      <c:valAx>
        <c:axId val="255843712"/>
        <c:scaling>
          <c:orientation val="minMax"/>
        </c:scaling>
        <c:delete val="0"/>
        <c:axPos val="l"/>
        <c:numFmt formatCode="General" sourceLinked="1"/>
        <c:majorTickMark val="out"/>
        <c:minorTickMark val="none"/>
        <c:tickLblPos val="nextTo"/>
        <c:crossAx val="25584217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Verdana" pitchFamily="34" charset="0"/>
                <a:ea typeface="Verdana" pitchFamily="34" charset="0"/>
                <a:cs typeface="Verdana" pitchFamily="34" charset="0"/>
              </a:rPr>
              <a:t>Valued - voluntary sector</a:t>
            </a:r>
          </a:p>
        </c:rich>
      </c:tx>
      <c:overlay val="0"/>
    </c:title>
    <c:autoTitleDeleted val="0"/>
    <c:plotArea>
      <c:layout/>
      <c:barChart>
        <c:barDir val="col"/>
        <c:grouping val="clustered"/>
        <c:varyColors val="0"/>
        <c:ser>
          <c:idx val="0"/>
          <c:order val="0"/>
          <c:tx>
            <c:strRef>
              <c:f>'Charts for Voluntary'!$C$32</c:f>
              <c:strCache>
                <c:ptCount val="1"/>
                <c:pt idx="0">
                  <c:v>No.</c:v>
                </c:pt>
              </c:strCache>
            </c:strRef>
          </c:tx>
          <c:spPr>
            <a:solidFill>
              <a:schemeClr val="accent4">
                <a:lumMod val="75000"/>
              </a:schemeClr>
            </a:solidFill>
            <a:ln>
              <a:solidFill>
                <a:schemeClr val="tx1"/>
              </a:solidFill>
            </a:ln>
          </c:spPr>
          <c:invertIfNegative val="0"/>
          <c:cat>
            <c:strRef>
              <c:f>'Charts for Voluntary'!$B$33:$B$37</c:f>
              <c:strCache>
                <c:ptCount val="5"/>
                <c:pt idx="0">
                  <c:v>Not at all valued</c:v>
                </c:pt>
                <c:pt idx="1">
                  <c:v>Sometimes valued</c:v>
                </c:pt>
                <c:pt idx="2">
                  <c:v>Neither valued/not valued</c:v>
                </c:pt>
                <c:pt idx="3">
                  <c:v>Often valued</c:v>
                </c:pt>
                <c:pt idx="4">
                  <c:v>Fully valued</c:v>
                </c:pt>
              </c:strCache>
            </c:strRef>
          </c:cat>
          <c:val>
            <c:numRef>
              <c:f>'Charts for Voluntary'!$C$33:$C$37</c:f>
              <c:numCache>
                <c:formatCode>General</c:formatCode>
                <c:ptCount val="5"/>
                <c:pt idx="0">
                  <c:v>20</c:v>
                </c:pt>
                <c:pt idx="1">
                  <c:v>80</c:v>
                </c:pt>
                <c:pt idx="2">
                  <c:v>44</c:v>
                </c:pt>
                <c:pt idx="3">
                  <c:v>170</c:v>
                </c:pt>
                <c:pt idx="4">
                  <c:v>62</c:v>
                </c:pt>
              </c:numCache>
            </c:numRef>
          </c:val>
        </c:ser>
        <c:dLbls>
          <c:showLegendKey val="0"/>
          <c:showVal val="0"/>
          <c:showCatName val="0"/>
          <c:showSerName val="0"/>
          <c:showPercent val="0"/>
          <c:showBubbleSize val="0"/>
        </c:dLbls>
        <c:gapWidth val="150"/>
        <c:axId val="255851520"/>
        <c:axId val="282338048"/>
      </c:barChart>
      <c:catAx>
        <c:axId val="255851520"/>
        <c:scaling>
          <c:orientation val="minMax"/>
        </c:scaling>
        <c:delete val="0"/>
        <c:axPos val="b"/>
        <c:numFmt formatCode="General" sourceLinked="0"/>
        <c:majorTickMark val="out"/>
        <c:minorTickMark val="none"/>
        <c:tickLblPos val="nextTo"/>
        <c:crossAx val="282338048"/>
        <c:crosses val="autoZero"/>
        <c:auto val="1"/>
        <c:lblAlgn val="ctr"/>
        <c:lblOffset val="100"/>
        <c:noMultiLvlLbl val="0"/>
      </c:catAx>
      <c:valAx>
        <c:axId val="282338048"/>
        <c:scaling>
          <c:orientation val="minMax"/>
        </c:scaling>
        <c:delete val="0"/>
        <c:axPos val="l"/>
        <c:numFmt formatCode="General" sourceLinked="1"/>
        <c:majorTickMark val="out"/>
        <c:minorTickMark val="none"/>
        <c:tickLblPos val="nextTo"/>
        <c:crossAx val="255851520"/>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Verdana" pitchFamily="34" charset="0"/>
                <a:ea typeface="Verdana" pitchFamily="34" charset="0"/>
                <a:cs typeface="Verdana" pitchFamily="34" charset="0"/>
              </a:defRPr>
            </a:pPr>
            <a:r>
              <a:rPr lang="en-US" sz="1100">
                <a:latin typeface="Verdana" pitchFamily="34" charset="0"/>
                <a:ea typeface="Verdana" pitchFamily="34" charset="0"/>
                <a:cs typeface="Verdana" pitchFamily="34" charset="0"/>
              </a:rPr>
              <a:t>Opportunity to support - voluntary sector</a:t>
            </a:r>
          </a:p>
        </c:rich>
      </c:tx>
      <c:overlay val="0"/>
    </c:title>
    <c:autoTitleDeleted val="0"/>
    <c:plotArea>
      <c:layout/>
      <c:barChart>
        <c:barDir val="col"/>
        <c:grouping val="clustered"/>
        <c:varyColors val="0"/>
        <c:ser>
          <c:idx val="0"/>
          <c:order val="0"/>
          <c:tx>
            <c:strRef>
              <c:f>'Charts for Voluntary'!$F$32</c:f>
              <c:strCache>
                <c:ptCount val="1"/>
                <c:pt idx="0">
                  <c:v>No.</c:v>
                </c:pt>
              </c:strCache>
            </c:strRef>
          </c:tx>
          <c:spPr>
            <a:solidFill>
              <a:schemeClr val="accent4">
                <a:lumMod val="75000"/>
              </a:schemeClr>
            </a:solidFill>
          </c:spPr>
          <c:invertIfNegative val="0"/>
          <c:dPt>
            <c:idx val="0"/>
            <c:invertIfNegative val="0"/>
            <c:bubble3D val="0"/>
            <c:spPr>
              <a:solidFill>
                <a:schemeClr val="accent4">
                  <a:lumMod val="75000"/>
                </a:schemeClr>
              </a:solidFill>
              <a:ln>
                <a:solidFill>
                  <a:schemeClr val="tx1"/>
                </a:solidFill>
              </a:ln>
            </c:spPr>
          </c:dPt>
          <c:dPt>
            <c:idx val="1"/>
            <c:invertIfNegative val="0"/>
            <c:bubble3D val="0"/>
            <c:spPr>
              <a:solidFill>
                <a:schemeClr val="accent4">
                  <a:lumMod val="75000"/>
                </a:schemeClr>
              </a:solidFill>
              <a:ln>
                <a:solidFill>
                  <a:schemeClr val="tx1"/>
                </a:solidFill>
              </a:ln>
            </c:spPr>
          </c:dPt>
          <c:dPt>
            <c:idx val="2"/>
            <c:invertIfNegative val="0"/>
            <c:bubble3D val="0"/>
            <c:spPr>
              <a:solidFill>
                <a:schemeClr val="accent4">
                  <a:lumMod val="75000"/>
                </a:schemeClr>
              </a:solidFill>
              <a:ln>
                <a:solidFill>
                  <a:schemeClr val="tx1"/>
                </a:solidFill>
              </a:ln>
            </c:spPr>
          </c:dPt>
          <c:dPt>
            <c:idx val="3"/>
            <c:invertIfNegative val="0"/>
            <c:bubble3D val="0"/>
            <c:spPr>
              <a:solidFill>
                <a:schemeClr val="accent4">
                  <a:lumMod val="75000"/>
                </a:schemeClr>
              </a:solidFill>
              <a:ln>
                <a:solidFill>
                  <a:schemeClr val="tx1"/>
                </a:solidFill>
              </a:ln>
            </c:spPr>
          </c:dPt>
          <c:cat>
            <c:strRef>
              <c:f>'Charts for Voluntary'!$E$33:$E$36</c:f>
              <c:strCache>
                <c:ptCount val="4"/>
                <c:pt idx="0">
                  <c:v>Never</c:v>
                </c:pt>
                <c:pt idx="1">
                  <c:v>Sometimes</c:v>
                </c:pt>
                <c:pt idx="2">
                  <c:v>Often</c:v>
                </c:pt>
                <c:pt idx="3">
                  <c:v>Always</c:v>
                </c:pt>
              </c:strCache>
            </c:strRef>
          </c:cat>
          <c:val>
            <c:numRef>
              <c:f>'Charts for Voluntary'!$F$33:$F$36</c:f>
              <c:numCache>
                <c:formatCode>General</c:formatCode>
                <c:ptCount val="4"/>
                <c:pt idx="0">
                  <c:v>10</c:v>
                </c:pt>
                <c:pt idx="1">
                  <c:v>68</c:v>
                </c:pt>
                <c:pt idx="2">
                  <c:v>125</c:v>
                </c:pt>
                <c:pt idx="3">
                  <c:v>172</c:v>
                </c:pt>
              </c:numCache>
            </c:numRef>
          </c:val>
        </c:ser>
        <c:dLbls>
          <c:showLegendKey val="0"/>
          <c:showVal val="0"/>
          <c:showCatName val="0"/>
          <c:showSerName val="0"/>
          <c:showPercent val="0"/>
          <c:showBubbleSize val="0"/>
        </c:dLbls>
        <c:gapWidth val="150"/>
        <c:axId val="282359680"/>
        <c:axId val="282361216"/>
      </c:barChart>
      <c:catAx>
        <c:axId val="282359680"/>
        <c:scaling>
          <c:orientation val="minMax"/>
        </c:scaling>
        <c:delete val="0"/>
        <c:axPos val="b"/>
        <c:numFmt formatCode="General" sourceLinked="0"/>
        <c:majorTickMark val="out"/>
        <c:minorTickMark val="none"/>
        <c:tickLblPos val="nextTo"/>
        <c:crossAx val="282361216"/>
        <c:crosses val="autoZero"/>
        <c:auto val="1"/>
        <c:lblAlgn val="ctr"/>
        <c:lblOffset val="100"/>
        <c:noMultiLvlLbl val="0"/>
      </c:catAx>
      <c:valAx>
        <c:axId val="282361216"/>
        <c:scaling>
          <c:orientation val="minMax"/>
        </c:scaling>
        <c:delete val="0"/>
        <c:axPos val="l"/>
        <c:numFmt formatCode="General" sourceLinked="1"/>
        <c:majorTickMark val="out"/>
        <c:minorTickMark val="none"/>
        <c:tickLblPos val="nextTo"/>
        <c:crossAx val="282359680"/>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Verdana" pitchFamily="34" charset="0"/>
                <a:ea typeface="Verdana" pitchFamily="34" charset="0"/>
                <a:cs typeface="Verdana" pitchFamily="34" charset="0"/>
              </a:defRPr>
            </a:pPr>
            <a:r>
              <a:rPr lang="en-US" sz="1100">
                <a:latin typeface="Verdana" pitchFamily="34" charset="0"/>
                <a:ea typeface="Verdana" pitchFamily="34" charset="0"/>
                <a:cs typeface="Verdana" pitchFamily="34" charset="0"/>
              </a:rPr>
              <a:t>Opportunity to support - private</a:t>
            </a:r>
            <a:r>
              <a:rPr lang="en-US" sz="1100" baseline="0">
                <a:latin typeface="Verdana" pitchFamily="34" charset="0"/>
                <a:ea typeface="Verdana" pitchFamily="34" charset="0"/>
                <a:cs typeface="Verdana" pitchFamily="34" charset="0"/>
              </a:rPr>
              <a:t> sector</a:t>
            </a:r>
            <a:endParaRPr lang="en-US" sz="1100">
              <a:latin typeface="Verdana" pitchFamily="34" charset="0"/>
              <a:ea typeface="Verdana" pitchFamily="34" charset="0"/>
              <a:cs typeface="Verdana" pitchFamily="34" charset="0"/>
            </a:endParaRPr>
          </a:p>
        </c:rich>
      </c:tx>
      <c:overlay val="0"/>
    </c:title>
    <c:autoTitleDeleted val="0"/>
    <c:plotArea>
      <c:layout/>
      <c:barChart>
        <c:barDir val="col"/>
        <c:grouping val="clustered"/>
        <c:varyColors val="0"/>
        <c:ser>
          <c:idx val="0"/>
          <c:order val="0"/>
          <c:tx>
            <c:strRef>
              <c:f>'Charts for Private'!$I$70</c:f>
              <c:strCache>
                <c:ptCount val="1"/>
                <c:pt idx="0">
                  <c:v>No.</c:v>
                </c:pt>
              </c:strCache>
            </c:strRef>
          </c:tx>
          <c:spPr>
            <a:solidFill>
              <a:srgbClr val="FFC000"/>
            </a:solidFill>
            <a:ln>
              <a:solidFill>
                <a:schemeClr val="tx1"/>
              </a:solidFill>
            </a:ln>
          </c:spPr>
          <c:invertIfNegative val="0"/>
          <c:cat>
            <c:strRef>
              <c:f>'Charts for Private'!$H$71:$H$74</c:f>
              <c:strCache>
                <c:ptCount val="4"/>
                <c:pt idx="0">
                  <c:v>Never</c:v>
                </c:pt>
                <c:pt idx="1">
                  <c:v>Sometimes</c:v>
                </c:pt>
                <c:pt idx="2">
                  <c:v>Often</c:v>
                </c:pt>
                <c:pt idx="3">
                  <c:v>Always</c:v>
                </c:pt>
              </c:strCache>
            </c:strRef>
          </c:cat>
          <c:val>
            <c:numRef>
              <c:f>'Charts for Private'!$I$71:$I$74</c:f>
              <c:numCache>
                <c:formatCode>General</c:formatCode>
                <c:ptCount val="4"/>
                <c:pt idx="0">
                  <c:v>12</c:v>
                </c:pt>
                <c:pt idx="1">
                  <c:v>69</c:v>
                </c:pt>
                <c:pt idx="2">
                  <c:v>121</c:v>
                </c:pt>
                <c:pt idx="3">
                  <c:v>160</c:v>
                </c:pt>
              </c:numCache>
            </c:numRef>
          </c:val>
        </c:ser>
        <c:dLbls>
          <c:showLegendKey val="0"/>
          <c:showVal val="0"/>
          <c:showCatName val="0"/>
          <c:showSerName val="0"/>
          <c:showPercent val="0"/>
          <c:showBubbleSize val="0"/>
        </c:dLbls>
        <c:gapWidth val="150"/>
        <c:axId val="282377600"/>
        <c:axId val="282383488"/>
      </c:barChart>
      <c:catAx>
        <c:axId val="282377600"/>
        <c:scaling>
          <c:orientation val="minMax"/>
        </c:scaling>
        <c:delete val="0"/>
        <c:axPos val="b"/>
        <c:numFmt formatCode="General" sourceLinked="0"/>
        <c:majorTickMark val="out"/>
        <c:minorTickMark val="none"/>
        <c:tickLblPos val="nextTo"/>
        <c:crossAx val="282383488"/>
        <c:crosses val="autoZero"/>
        <c:auto val="1"/>
        <c:lblAlgn val="ctr"/>
        <c:lblOffset val="100"/>
        <c:noMultiLvlLbl val="0"/>
      </c:catAx>
      <c:valAx>
        <c:axId val="282383488"/>
        <c:scaling>
          <c:orientation val="minMax"/>
        </c:scaling>
        <c:delete val="0"/>
        <c:axPos val="l"/>
        <c:numFmt formatCode="General" sourceLinked="1"/>
        <c:majorTickMark val="out"/>
        <c:minorTickMark val="none"/>
        <c:tickLblPos val="nextTo"/>
        <c:crossAx val="2823776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EC081-DAE5-4183-892B-FEAB6BDF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2714</Words>
  <Characters>15471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Social Care and Social Work Improvement Scotland</Company>
  <LinksUpToDate>false</LinksUpToDate>
  <CharactersWithSpaces>18149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hendersong</dc:creator>
  <cp:lastModifiedBy>BECCA</cp:lastModifiedBy>
  <cp:revision>2</cp:revision>
  <cp:lastPrinted>2015-04-21T11:57:00Z</cp:lastPrinted>
  <dcterms:created xsi:type="dcterms:W3CDTF">2016-06-20T21:17:00Z</dcterms:created>
  <dcterms:modified xsi:type="dcterms:W3CDTF">2016-06-20T21:17:00Z</dcterms:modified>
</cp:coreProperties>
</file>